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03" w:rsidRPr="006C369A" w:rsidRDefault="00EC5867" w:rsidP="00B30D35">
      <w:pPr>
        <w:spacing w:after="0" w:line="240" w:lineRule="auto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6C369A" w:rsidRDefault="00577803" w:rsidP="00B30D35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B30D35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B30D35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B30D35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6C369A" w:rsidRDefault="005F4DFA" w:rsidP="00B30D35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:rsidR="007F0AC7" w:rsidRPr="006C369A" w:rsidRDefault="00217567" w:rsidP="00B30D35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 xml:space="preserve">o </w:t>
      </w:r>
      <w:r w:rsidR="001A70DF">
        <w:rPr>
          <w:rFonts w:ascii="Arial" w:hAnsi="Arial" w:cs="Arial"/>
          <w:b/>
          <w:noProof/>
        </w:rPr>
        <w:t>pojavi mineraln</w:t>
      </w:r>
      <w:r w:rsidR="00114759">
        <w:rPr>
          <w:rFonts w:ascii="Arial" w:hAnsi="Arial" w:cs="Arial"/>
          <w:b/>
          <w:noProof/>
        </w:rPr>
        <w:t>e</w:t>
      </w:r>
      <w:r w:rsidR="001A70DF">
        <w:rPr>
          <w:rFonts w:ascii="Arial" w:hAnsi="Arial" w:cs="Arial"/>
          <w:b/>
          <w:noProof/>
        </w:rPr>
        <w:t xml:space="preserve"> sirovine</w:t>
      </w:r>
      <w:r w:rsidRPr="006C369A">
        <w:rPr>
          <w:rFonts w:ascii="Arial" w:hAnsi="Arial" w:cs="Arial"/>
          <w:b/>
          <w:noProof/>
        </w:rPr>
        <w:t xml:space="preserve"> tehničko-g</w:t>
      </w:r>
      <w:r w:rsidR="00975057" w:rsidRPr="006C369A">
        <w:rPr>
          <w:rFonts w:ascii="Arial" w:hAnsi="Arial" w:cs="Arial"/>
          <w:b/>
          <w:noProof/>
        </w:rPr>
        <w:t>ra</w:t>
      </w:r>
      <w:r w:rsidR="007B1A7C" w:rsidRPr="006C369A">
        <w:rPr>
          <w:rFonts w:ascii="Arial" w:hAnsi="Arial" w:cs="Arial"/>
          <w:b/>
          <w:noProof/>
        </w:rPr>
        <w:t xml:space="preserve">đevinskog kamena </w:t>
      </w:r>
      <w:r w:rsidR="00A26A6C">
        <w:rPr>
          <w:rFonts w:ascii="Arial" w:hAnsi="Arial" w:cs="Arial"/>
          <w:b/>
          <w:noProof/>
          <w:lang w:val="sr-Latn-CS"/>
        </w:rPr>
        <w:t>„</w:t>
      </w:r>
      <w:r w:rsidR="006407E5">
        <w:rPr>
          <w:rFonts w:ascii="Arial" w:hAnsi="Arial" w:cs="Arial"/>
          <w:b/>
          <w:noProof/>
          <w:lang w:val="sr-Latn-CS"/>
        </w:rPr>
        <w:t>Kurilo</w:t>
      </w:r>
      <w:r w:rsidR="00A26A6C" w:rsidRPr="00A26A6C">
        <w:rPr>
          <w:rFonts w:ascii="Arial" w:hAnsi="Arial" w:cs="Arial"/>
          <w:b/>
          <w:noProof/>
          <w:lang w:val="sr-Latn-CS"/>
        </w:rPr>
        <w:t xml:space="preserve">“, </w:t>
      </w:r>
      <w:r w:rsidR="00513F8C">
        <w:rPr>
          <w:rFonts w:ascii="Arial" w:hAnsi="Arial" w:cs="Arial"/>
          <w:b/>
          <w:noProof/>
          <w:lang w:val="sr-Latn-CS"/>
        </w:rPr>
        <w:t>Opština Bijelo Polje</w:t>
      </w:r>
    </w:p>
    <w:p w:rsidR="007F0AC7" w:rsidRPr="006C369A" w:rsidRDefault="007F0AC7" w:rsidP="00B30D35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p w:rsidR="00217567" w:rsidRPr="006C369A" w:rsidRDefault="00217567" w:rsidP="00B30D35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577803" w:rsidRPr="006C369A" w:rsidRDefault="00577803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77803" w:rsidRPr="006C369A" w:rsidRDefault="00577803" w:rsidP="00B30D35">
      <w:pPr>
        <w:pStyle w:val="Default"/>
        <w:jc w:val="center"/>
        <w:rPr>
          <w:rFonts w:ascii="Arial" w:hAnsi="Arial" w:cs="Arial"/>
          <w:noProof/>
          <w:sz w:val="22"/>
          <w:szCs w:val="22"/>
        </w:rPr>
      </w:pPr>
    </w:p>
    <w:p w:rsidR="009045C6" w:rsidRPr="006C369A" w:rsidRDefault="009045C6" w:rsidP="00B30D35">
      <w:pPr>
        <w:spacing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:rsidR="009045C6" w:rsidRPr="006C369A" w:rsidRDefault="00A26A6C" w:rsidP="00B30D35">
      <w:pPr>
        <w:spacing w:before="100" w:beforeAutospacing="1"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b/>
          <w:noProof/>
          <w:kern w:val="32"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5F4DFA" w:rsidRPr="006C369A" w:rsidRDefault="005F4DFA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4278EC" w:rsidRPr="006C369A" w:rsidRDefault="004278E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Uvod</w:t>
      </w:r>
    </w:p>
    <w:p w:rsidR="00E644E6" w:rsidRPr="006C369A" w:rsidRDefault="00E644E6" w:rsidP="00B30D35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E644E6" w:rsidRPr="006C369A" w:rsidRDefault="00E644E6" w:rsidP="00B30D35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="00114759">
        <w:rPr>
          <w:rFonts w:ascii="Arial" w:hAnsi="Arial" w:cs="Arial"/>
          <w:noProof/>
        </w:rPr>
        <w:t xml:space="preserve">pojave </w:t>
      </w:r>
      <w:r w:rsidRPr="006C369A">
        <w:rPr>
          <w:rFonts w:ascii="Arial" w:hAnsi="Arial" w:cs="Arial"/>
          <w:noProof/>
        </w:rPr>
        <w:t xml:space="preserve">mineralne sirovine tehničko-građevinskog kamena </w:t>
      </w:r>
      <w:r w:rsidR="006407E5" w:rsidRPr="006407E5">
        <w:rPr>
          <w:rFonts w:ascii="Arial" w:hAnsi="Arial" w:cs="Arial"/>
          <w:noProof/>
          <w:lang w:val="sr-Latn-CS"/>
        </w:rPr>
        <w:t xml:space="preserve">„Kurilo”, </w:t>
      </w:r>
      <w:r w:rsidR="00513F8C">
        <w:rPr>
          <w:rFonts w:ascii="Arial" w:hAnsi="Arial" w:cs="Arial"/>
          <w:noProof/>
          <w:lang w:val="sr-Latn-CS"/>
        </w:rPr>
        <w:t>Opština Bijelo Polje</w:t>
      </w:r>
      <w:r w:rsidRPr="006C369A">
        <w:rPr>
          <w:rFonts w:ascii="Arial" w:hAnsi="Arial" w:cs="Arial"/>
          <w:noProof/>
        </w:rPr>
        <w:t>.</w:t>
      </w:r>
    </w:p>
    <w:p w:rsidR="00E644E6" w:rsidRPr="006C369A" w:rsidRDefault="00E644E6" w:rsidP="00B30D35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6C369A" w:rsidRDefault="0005633A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:rsidR="0005633A" w:rsidRPr="006C369A" w:rsidRDefault="0005633A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6C369A" w:rsidRDefault="00D73F55" w:rsidP="00B30D3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:rsidR="002E2BD7" w:rsidRPr="006C369A" w:rsidRDefault="00D73F55" w:rsidP="00B30D3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:rsidR="002E2BD7" w:rsidRPr="006C369A" w:rsidRDefault="00F31728" w:rsidP="00B30D3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:rsidR="0023346C" w:rsidRPr="006C369A" w:rsidRDefault="0023346C" w:rsidP="00B30D35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6B56FD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Kontakt lice</w:t>
      </w:r>
      <w:r w:rsidR="009045C6" w:rsidRPr="006C369A">
        <w:rPr>
          <w:rFonts w:ascii="Arial" w:hAnsi="Arial" w:cs="Arial"/>
          <w:noProof/>
        </w:rPr>
        <w:t xml:space="preserve">: </w:t>
      </w:r>
      <w:r w:rsidRPr="006C369A">
        <w:rPr>
          <w:rFonts w:ascii="Arial" w:hAnsi="Arial" w:cs="Arial"/>
          <w:noProof/>
        </w:rPr>
        <w:t xml:space="preserve">Vesna </w:t>
      </w:r>
      <w:r w:rsidR="000D384A">
        <w:rPr>
          <w:rFonts w:ascii="Arial" w:hAnsi="Arial" w:cs="Arial"/>
          <w:noProof/>
        </w:rPr>
        <w:t>Velašević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E-mail: </w:t>
      </w:r>
      <w:r w:rsidR="00AD34D0">
        <w:rPr>
          <w:rFonts w:ascii="Arial" w:hAnsi="Arial" w:cs="Arial"/>
          <w:noProof/>
        </w:rPr>
        <w:t>vesna.velasevic</w:t>
      </w:r>
      <w:r w:rsidR="0023346C" w:rsidRPr="006C369A">
        <w:rPr>
          <w:rFonts w:ascii="Arial" w:hAnsi="Arial" w:cs="Arial"/>
          <w:noProof/>
        </w:rPr>
        <w:t>@mek.gov.me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A2B0D" w:rsidRPr="006C369A" w:rsidRDefault="002A2B0D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3D3166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000DF2" w:rsidRPr="006C369A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000DF2" w:rsidRPr="006C369A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postave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000DF2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126B6C" w:rsidP="00B30D35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9F14A0" w:rsidRPr="006C369A">
        <w:rPr>
          <w:rFonts w:ascii="Arial" w:hAnsi="Arial" w:cs="Arial"/>
          <w:noProof/>
        </w:rPr>
        <w:t xml:space="preserve"> </w:t>
      </w:r>
      <w:r w:rsidR="00083B53" w:rsidRPr="006C369A">
        <w:rPr>
          <w:rFonts w:ascii="Arial" w:hAnsi="Arial" w:cs="Arial"/>
          <w:noProof/>
        </w:rPr>
        <w:t>Koncesioni akt o</w:t>
      </w:r>
      <w:r w:rsidR="00B56AC7">
        <w:rPr>
          <w:rFonts w:ascii="Arial" w:hAnsi="Arial" w:cs="Arial"/>
          <w:noProof/>
        </w:rPr>
        <w:t xml:space="preserve"> pojavi</w:t>
      </w:r>
      <w:r w:rsidR="00083B53" w:rsidRPr="006C369A">
        <w:rPr>
          <w:rFonts w:ascii="Arial" w:hAnsi="Arial" w:cs="Arial"/>
          <w:noProof/>
        </w:rPr>
        <w:t xml:space="preserve"> </w:t>
      </w:r>
      <w:r w:rsidR="006B4408" w:rsidRPr="006C369A">
        <w:rPr>
          <w:rFonts w:ascii="Arial" w:hAnsi="Arial" w:cs="Arial"/>
          <w:noProof/>
        </w:rPr>
        <w:t>mineraln</w:t>
      </w:r>
      <w:r w:rsidR="00B56AC7">
        <w:rPr>
          <w:rFonts w:ascii="Arial" w:hAnsi="Arial" w:cs="Arial"/>
          <w:noProof/>
        </w:rPr>
        <w:t>e</w:t>
      </w:r>
      <w:r w:rsidR="006B4408" w:rsidRPr="006C369A">
        <w:rPr>
          <w:rFonts w:ascii="Arial" w:hAnsi="Arial" w:cs="Arial"/>
          <w:noProof/>
        </w:rPr>
        <w:t xml:space="preserve"> sirovin</w:t>
      </w:r>
      <w:r w:rsidR="00B56AC7">
        <w:rPr>
          <w:rFonts w:ascii="Arial" w:hAnsi="Arial" w:cs="Arial"/>
          <w:noProof/>
        </w:rPr>
        <w:t>e</w:t>
      </w:r>
      <w:r w:rsidR="006B4408" w:rsidRPr="006C369A">
        <w:rPr>
          <w:rFonts w:ascii="Arial" w:hAnsi="Arial" w:cs="Arial"/>
          <w:noProof/>
        </w:rPr>
        <w:t xml:space="preserve"> tehničko-g</w:t>
      </w:r>
      <w:r w:rsidR="00975057" w:rsidRPr="006C369A">
        <w:rPr>
          <w:rFonts w:ascii="Arial" w:hAnsi="Arial" w:cs="Arial"/>
          <w:noProof/>
        </w:rPr>
        <w:t>ra</w:t>
      </w:r>
      <w:r w:rsidR="00DA32D5" w:rsidRPr="006C369A">
        <w:rPr>
          <w:rFonts w:ascii="Arial" w:hAnsi="Arial" w:cs="Arial"/>
          <w:noProof/>
        </w:rPr>
        <w:t xml:space="preserve">đevinskog kamena </w:t>
      </w:r>
      <w:r w:rsidR="006407E5" w:rsidRPr="006407E5">
        <w:rPr>
          <w:rFonts w:ascii="Arial" w:hAnsi="Arial" w:cs="Arial"/>
          <w:noProof/>
          <w:lang w:val="sr-Latn-CS"/>
        </w:rPr>
        <w:t xml:space="preserve">lokaliteta „Kurilo”, </w:t>
      </w:r>
      <w:r w:rsidR="00513F8C">
        <w:rPr>
          <w:rFonts w:ascii="Arial" w:hAnsi="Arial" w:cs="Arial"/>
          <w:noProof/>
          <w:lang w:val="sr-Latn-CS"/>
        </w:rPr>
        <w:t>Opština Bijelo Polje</w:t>
      </w:r>
      <w:r w:rsidR="00A26A6C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9F14A0" w:rsidRPr="006C369A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9F14A0" w:rsidRPr="006C369A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9F14A0" w:rsidRPr="006C369A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</w:t>
      </w:r>
      <w:r w:rsidR="009F14A0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9F14A0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5F4DFA" w:rsidRPr="006C369A">
        <w:rPr>
          <w:rFonts w:ascii="Arial" w:hAnsi="Arial" w:cs="Arial"/>
          <w:noProof/>
        </w:rPr>
        <w:t>tehničko</w:t>
      </w:r>
      <w:r w:rsidR="0005633A" w:rsidRPr="006C369A">
        <w:rPr>
          <w:rFonts w:ascii="Arial" w:hAnsi="Arial" w:cs="Arial"/>
          <w:noProof/>
        </w:rPr>
        <w:t>-građevinskog</w:t>
      </w:r>
      <w:r w:rsidR="009F14A0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kamena</w:t>
      </w:r>
      <w:r w:rsidR="006407E5" w:rsidRPr="006407E5">
        <w:rPr>
          <w:rFonts w:ascii="Arial" w:hAnsi="Arial" w:cs="Arial"/>
          <w:noProof/>
          <w:lang w:val="sr-Latn-CS"/>
        </w:rPr>
        <w:t xml:space="preserve"> </w:t>
      </w:r>
      <w:r w:rsidR="006407E5" w:rsidRPr="006407E5">
        <w:rPr>
          <w:rFonts w:ascii="Arial" w:hAnsi="Arial" w:cs="Arial"/>
          <w:noProof/>
          <w:lang w:val="sr-Latn-CS"/>
        </w:rPr>
        <w:lastRenderedPageBreak/>
        <w:t xml:space="preserve">„Kurilo”, </w:t>
      </w:r>
      <w:r w:rsidR="00513F8C">
        <w:rPr>
          <w:rFonts w:ascii="Arial" w:hAnsi="Arial" w:cs="Arial"/>
          <w:noProof/>
          <w:lang w:val="sr-Latn-CS"/>
        </w:rPr>
        <w:t>Opština Bijelo Polje</w:t>
      </w:r>
      <w:r w:rsidR="006407E5" w:rsidRPr="006407E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:rsidR="006B4408" w:rsidRPr="006C369A" w:rsidRDefault="006B4408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Samo lica koja su izvršila otkup Tenderske dokumentacije imaju pravo da učestvuju u postupku javnog nadmetanja za dodjelu koncesije.</w:t>
      </w:r>
      <w:r w:rsidR="0002611D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 xml:space="preserve">Ministarstvo će izdati potvrdu o otkupljenoj Tendrskoj dokumentaciji.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Default="00AF218D" w:rsidP="00B30D35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114759" w:rsidRPr="00A7798A">
        <w:rPr>
          <w:rFonts w:ascii="Arial" w:hAnsi="Arial" w:cs="Arial"/>
          <w:b/>
          <w:noProof/>
        </w:rPr>
        <w:t>10</w:t>
      </w:r>
      <w:r w:rsidR="00D90072" w:rsidRPr="00A7798A">
        <w:rPr>
          <w:rFonts w:ascii="Arial" w:hAnsi="Arial" w:cs="Arial"/>
          <w:b/>
          <w:noProof/>
        </w:rPr>
        <w:t>00,00 EUR</w:t>
      </w:r>
      <w:r w:rsidR="00D90072" w:rsidRPr="006C369A">
        <w:rPr>
          <w:rFonts w:ascii="Arial" w:hAnsi="Arial" w:cs="Arial"/>
          <w:noProof/>
        </w:rPr>
        <w:t xml:space="preserve"> (</w:t>
      </w:r>
      <w:r w:rsidR="00114759">
        <w:rPr>
          <w:rFonts w:ascii="Arial" w:hAnsi="Arial" w:cs="Arial"/>
          <w:noProof/>
        </w:rPr>
        <w:t>hiljadu</w:t>
      </w:r>
      <w:r w:rsidRPr="006C369A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DA32D5" w:rsidRPr="006C369A">
        <w:rPr>
          <w:rFonts w:ascii="Arial" w:hAnsi="Arial" w:cs="Arial"/>
          <w:noProof/>
        </w:rPr>
        <w:t xml:space="preserve"> </w:t>
      </w:r>
      <w:r w:rsidR="00571092">
        <w:rPr>
          <w:rFonts w:ascii="Arial" w:hAnsi="Arial" w:cs="Arial"/>
          <w:noProof/>
          <w:lang w:val="sr-Latn-CS"/>
        </w:rPr>
        <w:t>lokalitet „Kurilo</w:t>
      </w:r>
      <w:r w:rsidR="00A26A6C" w:rsidRPr="00A26A6C">
        <w:rPr>
          <w:rFonts w:ascii="Arial" w:hAnsi="Arial" w:cs="Arial"/>
          <w:noProof/>
          <w:lang w:val="sr-Latn-CS"/>
        </w:rPr>
        <w:t xml:space="preserve">“, opština </w:t>
      </w:r>
      <w:r w:rsidR="00571092">
        <w:rPr>
          <w:rFonts w:ascii="Arial" w:hAnsi="Arial" w:cs="Arial"/>
          <w:noProof/>
          <w:lang w:val="sr-Latn-CS"/>
        </w:rPr>
        <w:t>Bijelo Polje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6C369A" w:rsidRDefault="006C369A" w:rsidP="00B30D35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AF218D" w:rsidRPr="006C369A" w:rsidRDefault="00AF218D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6C369A" w:rsidRDefault="00152EED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6C369A" w:rsidRDefault="00152EED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6C369A" w:rsidRDefault="009045C6" w:rsidP="00B30D35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6C369A" w:rsidRDefault="009045C6" w:rsidP="00B30D35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6C369A" w:rsidRDefault="00D834AC" w:rsidP="00B30D3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6C369A" w:rsidRDefault="00D834AC" w:rsidP="00B30D35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6C369A" w:rsidRDefault="00D834AC" w:rsidP="00B30D3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6C369A" w:rsidRDefault="00D834AC" w:rsidP="00B30D3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lastRenderedPageBreak/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6C369A" w:rsidRDefault="002B05F3" w:rsidP="00B30D3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6C369A" w:rsidRDefault="002B05F3" w:rsidP="00B30D35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lice, preduzetnik i fizičko lice nema neizmirenih obaveza po osnovu kazni izrečenih u krivičnom ili prekršajnom postupku u periodu od najmanje tri godine prije objavljivanja javnog oglasa</w:t>
      </w:r>
      <w:r w:rsidR="002A111C">
        <w:rPr>
          <w:rFonts w:ascii="Arial" w:eastAsia="Times New Roman" w:hAnsi="Arial" w:cs="Arial"/>
          <w:noProof/>
        </w:rPr>
        <w:t xml:space="preserve"> </w:t>
      </w:r>
      <w:r w:rsidRPr="006C369A">
        <w:rPr>
          <w:rFonts w:ascii="Arial" w:eastAsia="Times New Roman" w:hAnsi="Arial" w:cs="Arial"/>
          <w:noProof/>
        </w:rPr>
        <w:t xml:space="preserve">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6C369A" w:rsidRDefault="00D834AC" w:rsidP="00B30D35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6C369A" w:rsidRDefault="00D834AC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:rsidR="007B1A7C" w:rsidRPr="006C369A" w:rsidRDefault="007B1A7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6C369A" w:rsidRDefault="00D834AC" w:rsidP="00B30D35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6C369A" w:rsidRDefault="00D834AC" w:rsidP="00B30D35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6C369A" w:rsidRDefault="0023346C" w:rsidP="00B30D35">
      <w:pPr>
        <w:pStyle w:val="Default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:rsidR="00416413" w:rsidRPr="006C369A" w:rsidRDefault="00416413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Naručilac će odbiti ponudu u slučaju ako: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:rsidR="00416413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6C369A" w:rsidRDefault="00416413" w:rsidP="00B30D3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6C369A" w:rsidRDefault="00BF1193" w:rsidP="00B30D35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2A111C" w:rsidRDefault="00BF1193" w:rsidP="00B30D35">
      <w:pPr>
        <w:pStyle w:val="Heading1"/>
        <w:spacing w:before="0" w:after="0" w:line="240" w:lineRule="auto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6C369A" w:rsidRDefault="00BF1193" w:rsidP="00B30D35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6C369A" w:rsidRDefault="00BF1193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6C369A" w:rsidRDefault="00BF1193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B30D35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6C369A" w:rsidRDefault="00BF1193" w:rsidP="00B30D35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6C369A" w:rsidRDefault="00BF1193" w:rsidP="00B30D35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6C369A" w:rsidRDefault="00BF1193" w:rsidP="00B30D35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6C369A" w:rsidRDefault="00BF1193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A00BEA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 xml:space="preserve">prosječnog bruto prihoda u posljednje tri godine svakog </w:t>
      </w:r>
      <w:r w:rsidRPr="006C369A">
        <w:rPr>
          <w:rFonts w:ascii="Arial" w:hAnsi="Arial" w:cs="Arial"/>
          <w:noProof/>
          <w:sz w:val="22"/>
          <w:szCs w:val="22"/>
        </w:rPr>
        <w:lastRenderedPageBreak/>
        <w:t>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416413" w:rsidRPr="006C369A" w:rsidRDefault="00416413" w:rsidP="00B30D35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6C369A" w:rsidRDefault="00416413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6C369A" w:rsidRDefault="0023346C" w:rsidP="00B30D35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6C369A" w:rsidRDefault="00291372" w:rsidP="00B30D3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B56AC7">
        <w:rPr>
          <w:rFonts w:ascii="Arial" w:hAnsi="Arial" w:cs="Arial"/>
          <w:noProof/>
          <w:lang w:eastAsia="sl-SI"/>
        </w:rPr>
        <w:t xml:space="preserve">POJAVE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7F0AC7" w:rsidRPr="006C369A">
        <w:rPr>
          <w:rFonts w:ascii="Arial" w:hAnsi="Arial" w:cs="Arial"/>
          <w:noProof/>
          <w:lang w:eastAsia="sl-SI"/>
        </w:rPr>
        <w:t xml:space="preserve"> </w:t>
      </w:r>
      <w:r w:rsidR="005F4DFA" w:rsidRPr="006C369A">
        <w:rPr>
          <w:rFonts w:ascii="Arial" w:hAnsi="Arial" w:cs="Arial"/>
          <w:noProof/>
          <w:lang w:eastAsia="sl-SI"/>
        </w:rPr>
        <w:t>TEHNIČKO-GRAĐEVINSKOG</w:t>
      </w:r>
      <w:r w:rsidR="007F0AC7" w:rsidRPr="006C369A">
        <w:rPr>
          <w:rFonts w:ascii="Arial" w:hAnsi="Arial" w:cs="Arial"/>
          <w:noProof/>
          <w:lang w:eastAsia="sl-SI"/>
        </w:rPr>
        <w:t xml:space="preserve"> KAMENA</w:t>
      </w:r>
      <w:r w:rsidR="007B1A7C" w:rsidRPr="006C369A">
        <w:rPr>
          <w:rFonts w:ascii="Arial" w:hAnsi="Arial" w:cs="Arial"/>
          <w:noProof/>
          <w:lang w:eastAsia="sl-SI"/>
        </w:rPr>
        <w:t xml:space="preserve"> </w:t>
      </w:r>
      <w:r w:rsidR="006407E5" w:rsidRPr="006407E5">
        <w:rPr>
          <w:rFonts w:ascii="Arial" w:hAnsi="Arial" w:cs="Arial"/>
          <w:noProof/>
          <w:lang w:val="sr-Latn-CS" w:eastAsia="sl-SI"/>
        </w:rPr>
        <w:t xml:space="preserve">„KURILO”, </w:t>
      </w:r>
      <w:r w:rsidR="00513F8C">
        <w:rPr>
          <w:rFonts w:ascii="Arial" w:hAnsi="Arial" w:cs="Arial"/>
          <w:noProof/>
          <w:lang w:val="sr-Latn-CS" w:eastAsia="sl-SI"/>
        </w:rPr>
        <w:t>OPŠTINA BIJELO POLJE</w:t>
      </w:r>
      <w:r w:rsidR="006407E5" w:rsidRPr="006407E5">
        <w:rPr>
          <w:rFonts w:ascii="Arial" w:hAnsi="Arial" w:cs="Arial"/>
          <w:noProof/>
          <w:lang w:eastAsia="sl-SI"/>
        </w:rPr>
        <w:t xml:space="preserve"> </w:t>
      </w:r>
      <w:r>
        <w:rPr>
          <w:rFonts w:ascii="Arial" w:hAnsi="Arial" w:cs="Arial"/>
          <w:noProof/>
        </w:rPr>
        <w:t>“</w:t>
      </w:r>
    </w:p>
    <w:p w:rsidR="009045C6" w:rsidRPr="006C369A" w:rsidRDefault="009045C6" w:rsidP="00B30D3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:rsidR="009045C6" w:rsidRPr="006C369A" w:rsidRDefault="009045C6" w:rsidP="00B30D3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6C369A" w:rsidRDefault="00E40806" w:rsidP="00B30D3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:rsidR="002E2BD7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="00CC790E" w:rsidRPr="006C369A">
        <w:rPr>
          <w:rFonts w:ascii="Arial" w:hAnsi="Arial" w:cs="Arial"/>
          <w:noProof/>
          <w:kern w:val="20"/>
          <w:lang w:eastAsia="de-DE"/>
        </w:rPr>
        <w:t xml:space="preserve"> 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Default="00124853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</w:t>
      </w:r>
      <w:r w:rsidR="00291372">
        <w:rPr>
          <w:rFonts w:ascii="Arial" w:hAnsi="Arial" w:cs="Arial"/>
          <w:noProof/>
        </w:rPr>
        <w:t xml:space="preserve"> </w:t>
      </w:r>
      <w:r w:rsidR="00AF218D" w:rsidRPr="006C369A">
        <w:rPr>
          <w:rFonts w:ascii="Arial" w:hAnsi="Arial" w:cs="Arial"/>
          <w:noProof/>
        </w:rPr>
        <w:t>-</w:t>
      </w:r>
      <w:r w:rsidR="00291372">
        <w:rPr>
          <w:rFonts w:ascii="Arial" w:hAnsi="Arial" w:cs="Arial"/>
          <w:noProof/>
        </w:rPr>
        <w:t xml:space="preserve"> </w:t>
      </w:r>
      <w:r w:rsidR="00AF218D" w:rsidRPr="006C369A">
        <w:rPr>
          <w:rFonts w:ascii="Arial" w:hAnsi="Arial" w:cs="Arial"/>
          <w:noProof/>
        </w:rPr>
        <w:t>dvoslojnu foliju koja je uvezana sa drugim dokazima koji čine sastavni dio ponude.</w:t>
      </w:r>
    </w:p>
    <w:p w:rsidR="00291372" w:rsidRPr="006C369A" w:rsidRDefault="00291372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Default="009045C6" w:rsidP="00B30D35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:rsidR="006407E5" w:rsidRPr="006C369A" w:rsidRDefault="006407E5" w:rsidP="00B30D35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</w:p>
    <w:p w:rsidR="00291372" w:rsidRPr="006C369A" w:rsidRDefault="009045C6" w:rsidP="00B30D35">
      <w:pPr>
        <w:tabs>
          <w:tab w:val="left" w:pos="2700"/>
        </w:tabs>
        <w:spacing w:after="0" w:line="240" w:lineRule="auto"/>
        <w:jc w:val="both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lastRenderedPageBreak/>
        <w:drawing>
          <wp:inline distT="0" distB="0" distL="0" distR="0">
            <wp:extent cx="5486400" cy="1828800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6C369A">
        <w:rPr>
          <w:rFonts w:ascii="Arial" w:hAnsi="Arial" w:cs="Arial"/>
          <w:b/>
          <w:bCs/>
          <w:noProof/>
        </w:rPr>
        <w:tab/>
      </w:r>
    </w:p>
    <w:p w:rsidR="009045C6" w:rsidRPr="006C369A" w:rsidRDefault="009045C6" w:rsidP="00B30D35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6C369A" w:rsidRDefault="009045C6" w:rsidP="00B30D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:rsidR="00FE37D1" w:rsidRPr="006C369A" w:rsidRDefault="00FE37D1" w:rsidP="00B30D35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:rsidR="009045C6" w:rsidRPr="006C369A" w:rsidRDefault="009045C6" w:rsidP="00B30D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:rsidR="009045C6" w:rsidRPr="006C369A" w:rsidRDefault="009045C6" w:rsidP="00B30D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9C2819">
        <w:rPr>
          <w:rFonts w:ascii="Arial" w:hAnsi="Arial" w:cs="Arial"/>
          <w:noProof/>
        </w:rPr>
        <w:t xml:space="preserve">9.3 </w:t>
      </w:r>
      <w:r w:rsidR="00CF1B75" w:rsidRPr="006C369A">
        <w:rPr>
          <w:rFonts w:ascii="Arial" w:hAnsi="Arial" w:cs="Arial"/>
          <w:noProof/>
        </w:rPr>
        <w:t>Uputstva</w:t>
      </w:r>
      <w:r w:rsidRPr="006C369A">
        <w:rPr>
          <w:rFonts w:ascii="Arial" w:hAnsi="Arial" w:cs="Arial"/>
          <w:noProof/>
        </w:rPr>
        <w:t xml:space="preserve"> (ugovor o koncesiji; </w:t>
      </w:r>
      <w:r w:rsidR="00B56AC7">
        <w:rPr>
          <w:rFonts w:ascii="Arial" w:hAnsi="Arial" w:cs="Arial"/>
          <w:noProof/>
        </w:rPr>
        <w:t>liste izvršenih poslova koji su izvedeni ili se realizuju u posljednje tri godine,</w:t>
      </w:r>
      <w:r w:rsidRPr="006C369A">
        <w:rPr>
          <w:rFonts w:ascii="Arial" w:hAnsi="Arial" w:cs="Arial"/>
          <w:noProof/>
        </w:rPr>
        <w:t xml:space="preserve">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:rsidR="00291372" w:rsidRDefault="00291372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6C369A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Style w:val="TableGrid"/>
        <w:tblW w:w="0" w:type="auto"/>
        <w:tblLook w:val="04A0"/>
      </w:tblPr>
      <w:tblGrid>
        <w:gridCol w:w="656"/>
        <w:gridCol w:w="6983"/>
        <w:gridCol w:w="1604"/>
      </w:tblGrid>
      <w:tr w:rsidR="00311470" w:rsidRPr="00942B34" w:rsidTr="00114759">
        <w:trPr>
          <w:trHeight w:val="285"/>
        </w:trPr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311470" w:rsidRPr="00942B34" w:rsidTr="00114759"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311470" w:rsidRPr="00942B34" w:rsidTr="00114759">
        <w:trPr>
          <w:trHeight w:val="285"/>
        </w:trPr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311470" w:rsidRPr="00942B34" w:rsidTr="00114759">
        <w:trPr>
          <w:trHeight w:val="285"/>
        </w:trPr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311470" w:rsidRPr="00942B34" w:rsidTr="00114759">
        <w:trPr>
          <w:trHeight w:val="285"/>
        </w:trPr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311470" w:rsidRPr="00942B34" w:rsidTr="00114759">
        <w:trPr>
          <w:trHeight w:val="257"/>
        </w:trPr>
        <w:tc>
          <w:tcPr>
            <w:tcW w:w="656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vAlign w:val="center"/>
          </w:tcPr>
          <w:p w:rsidR="00311470" w:rsidRPr="00942B34" w:rsidRDefault="00311470" w:rsidP="00B30D35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6C369A" w:rsidRDefault="00FE37D1" w:rsidP="00B30D35">
      <w:pPr>
        <w:pStyle w:val="Heading2"/>
        <w:suppressAutoHyphens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procentualni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iznos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obračun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koncesione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naknade</w:t>
      </w: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6C369A" w:rsidRDefault="000765F5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Tačkom </w:t>
      </w:r>
      <w:r w:rsidR="00114759">
        <w:rPr>
          <w:rFonts w:ascii="Arial" w:hAnsi="Arial" w:cs="Arial"/>
          <w:noProof/>
        </w:rPr>
        <w:t>8</w:t>
      </w:r>
      <w:r w:rsidRPr="006C369A">
        <w:rPr>
          <w:rFonts w:ascii="Arial" w:hAnsi="Arial" w:cs="Arial"/>
          <w:noProof/>
        </w:rPr>
        <w:t>.1</w:t>
      </w:r>
      <w:r w:rsidR="00114759">
        <w:rPr>
          <w:rFonts w:ascii="Arial" w:hAnsi="Arial" w:cs="Arial"/>
          <w:noProof/>
        </w:rPr>
        <w:t>.2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>šta, je definisano da se istražno-eksploatacioni prostor tehničko-građevinskog kamena „</w:t>
      </w:r>
      <w:r w:rsidR="00FC65F0">
        <w:rPr>
          <w:rFonts w:ascii="Arial" w:hAnsi="Arial" w:cs="Arial"/>
          <w:noProof/>
        </w:rPr>
        <w:t>Kurilo</w:t>
      </w:r>
      <w:r w:rsidR="00DA32D5" w:rsidRPr="006C369A">
        <w:rPr>
          <w:rFonts w:ascii="Arial" w:hAnsi="Arial" w:cs="Arial"/>
          <w:noProof/>
        </w:rPr>
        <w:t>“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 tom osnovu, shodno Uredbi o kriterijumima i načinu obračuna iznosa minimalne koncesione naknade za ustupanje prava na istraživanje i eksploataciju mineralnih sirovina </w:t>
      </w:r>
      <w:r w:rsidRPr="006C369A">
        <w:rPr>
          <w:rFonts w:ascii="Arial" w:hAnsi="Arial" w:cs="Arial"/>
          <w:noProof/>
        </w:rPr>
        <w:lastRenderedPageBreak/>
        <w:t>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 tehničk</w:t>
      </w:r>
      <w:r w:rsidRPr="006C369A">
        <w:rPr>
          <w:rFonts w:ascii="Arial" w:hAnsi="Arial" w:cs="Arial"/>
          <w:noProof/>
        </w:rPr>
        <w:t>o-građevinskog kamena, odnosno, ukupnog tržišnog proizvoda, za koncesio</w:t>
      </w:r>
      <w:r w:rsidR="00DA32D5" w:rsidRPr="006C369A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:rsidR="00FE37D1" w:rsidRPr="006C369A" w:rsidRDefault="00FE37D1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 % / MP % x 40,</w:t>
      </w: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 % - označava % ponuđača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MP % - označava maksimalno ponuđeni % na tenderu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>40</w:t>
      </w:r>
      <w:r w:rsidRPr="00311470">
        <w:rPr>
          <w:rFonts w:ascii="Arial" w:hAnsi="Arial" w:cs="Arial"/>
          <w:noProof/>
        </w:rPr>
        <w:t xml:space="preserve"> – </w:t>
      </w:r>
      <w:r w:rsidR="00114759" w:rsidRPr="00311470">
        <w:rPr>
          <w:rFonts w:ascii="Arial" w:hAnsi="Arial" w:cs="Arial"/>
          <w:noProof/>
        </w:rPr>
        <w:t xml:space="preserve">označava </w:t>
      </w:r>
      <w:r w:rsidRPr="00311470">
        <w:rPr>
          <w:rFonts w:ascii="Arial" w:hAnsi="Arial" w:cs="Arial"/>
          <w:noProof/>
        </w:rPr>
        <w:t>broj bodova za ovaj kriterijum</w:t>
      </w: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Default="00DA32D5" w:rsidP="00B30D35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:rsidR="00C00BC9" w:rsidRPr="00C00BC9" w:rsidRDefault="00C00BC9" w:rsidP="00B30D35">
      <w:pPr>
        <w:spacing w:after="0" w:line="240" w:lineRule="auto"/>
      </w:pPr>
    </w:p>
    <w:p w:rsidR="003767B1" w:rsidRDefault="003767B1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b/>
          <w:noProof/>
        </w:rPr>
        <w:t xml:space="preserve">Tačkom </w:t>
      </w:r>
      <w:r w:rsidR="00114759">
        <w:rPr>
          <w:rFonts w:ascii="Arial" w:hAnsi="Arial" w:cs="Arial"/>
          <w:b/>
          <w:noProof/>
        </w:rPr>
        <w:t>8</w:t>
      </w:r>
      <w:r w:rsidRPr="006C369A">
        <w:rPr>
          <w:rFonts w:ascii="Arial" w:hAnsi="Arial" w:cs="Arial"/>
          <w:b/>
          <w:noProof/>
        </w:rPr>
        <w:t>.1.1 Koncesionog akta - Rezerve mineralne sirovine</w:t>
      </w:r>
      <w:r w:rsidRPr="006C369A">
        <w:rPr>
          <w:rFonts w:ascii="Arial" w:hAnsi="Arial" w:cs="Arial"/>
          <w:noProof/>
        </w:rPr>
        <w:t xml:space="preserve">, </w:t>
      </w:r>
      <w:r w:rsidR="00FC65F0" w:rsidRPr="00FC65F0">
        <w:rPr>
          <w:rFonts w:ascii="Arial" w:hAnsi="Arial" w:cs="Arial"/>
          <w:noProof/>
          <w:lang w:val="sv-SE"/>
        </w:rPr>
        <w:t xml:space="preserve">je </w:t>
      </w:r>
      <w:r w:rsidR="00FC65F0" w:rsidRPr="00FC65F0">
        <w:rPr>
          <w:rFonts w:ascii="Arial" w:hAnsi="Arial" w:cs="Arial"/>
          <w:noProof/>
        </w:rPr>
        <w:t>definisano da potencijalne reserve lokaliteta tehničko-građevinskog kamena „K</w:t>
      </w:r>
      <w:r w:rsidR="00FC65F0">
        <w:rPr>
          <w:rFonts w:ascii="Arial" w:hAnsi="Arial" w:cs="Arial"/>
          <w:noProof/>
        </w:rPr>
        <w:t>urilo</w:t>
      </w:r>
      <w:r w:rsidR="00FC65F0" w:rsidRPr="00FC65F0">
        <w:rPr>
          <w:rFonts w:ascii="Arial" w:hAnsi="Arial" w:cs="Arial"/>
          <w:noProof/>
        </w:rPr>
        <w:t>“ iznose 3.000.000 m</w:t>
      </w:r>
      <w:r w:rsidR="00FC65F0" w:rsidRPr="00FC65F0">
        <w:rPr>
          <w:rFonts w:ascii="Arial" w:hAnsi="Arial" w:cs="Arial"/>
          <w:noProof/>
          <w:vertAlign w:val="superscript"/>
        </w:rPr>
        <w:t>3</w:t>
      </w:r>
      <w:r w:rsidR="00FC65F0">
        <w:rPr>
          <w:rFonts w:ascii="Arial" w:hAnsi="Arial" w:cs="Arial"/>
          <w:noProof/>
          <w:vertAlign w:val="superscript"/>
        </w:rPr>
        <w:t xml:space="preserve"> </w:t>
      </w:r>
      <w:r w:rsidR="00FC65F0">
        <w:rPr>
          <w:rFonts w:ascii="Arial" w:hAnsi="Arial" w:cs="Arial"/>
          <w:noProof/>
        </w:rPr>
        <w:t xml:space="preserve">č.s.m. </w:t>
      </w:r>
      <w:r w:rsidR="00FC65F0" w:rsidRPr="00FC65F0">
        <w:rPr>
          <w:rFonts w:ascii="Arial" w:hAnsi="Arial" w:cs="Arial"/>
          <w:noProof/>
          <w:lang w:val="sr-Latn-CS"/>
        </w:rPr>
        <w:t>Prema minimalnom godišnjem kapacitetu od 20.000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č.s.m. tehničko-građevinskog kamena, za period od 28 godina (period koncesije za eksploataciju) otkopalo bi se 560.000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 tehničko-građevinskog kamena, u procesu dalje obrade sirovine, na godi</w:t>
      </w:r>
      <w:r w:rsidR="00FC65F0" w:rsidRPr="00FC65F0">
        <w:rPr>
          <w:rFonts w:ascii="Arial" w:hAnsi="Arial" w:cs="Arial"/>
          <w:noProof/>
        </w:rPr>
        <w:t>š</w:t>
      </w:r>
      <w:r w:rsidR="00FC65F0" w:rsidRPr="00FC65F0">
        <w:rPr>
          <w:rFonts w:ascii="Arial" w:hAnsi="Arial" w:cs="Arial"/>
          <w:noProof/>
          <w:lang w:val="sr-Latn-CS"/>
        </w:rPr>
        <w:t>njem nivou dobilo i se 30.000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agregata različitih frakcija, što bi za period od 28 godina iznosilo 840.000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tržišnog proizvoda</w:t>
      </w: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6C369A" w:rsidRDefault="003767B1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obim godišnje rudarske proizvodnje koji je jednak ili veći od 20.000 m</w:t>
      </w:r>
      <w:r w:rsidRPr="006C369A">
        <w:rPr>
          <w:rFonts w:ascii="Arial" w:hAnsi="Arial" w:cs="Arial"/>
          <w:noProof/>
          <w:vertAlign w:val="superscript"/>
        </w:rPr>
        <w:t>3</w:t>
      </w:r>
      <w:r w:rsidRPr="006C369A">
        <w:rPr>
          <w:rFonts w:ascii="Arial" w:hAnsi="Arial" w:cs="Arial"/>
          <w:noProof/>
        </w:rPr>
        <w:t xml:space="preserve"> č.s.m. </w:t>
      </w:r>
    </w:p>
    <w:p w:rsidR="008B2B34" w:rsidRPr="006C369A" w:rsidRDefault="008B2B34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B30D35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311470" w:rsidRPr="00311470" w:rsidRDefault="00311470" w:rsidP="00B30D35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gdje:</w:t>
      </w:r>
    </w:p>
    <w:p w:rsidR="00311470" w:rsidRPr="00311470" w:rsidRDefault="00311470" w:rsidP="00B30D35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311470" w:rsidRPr="00311470" w:rsidRDefault="00311470" w:rsidP="00B30D35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311470" w:rsidRPr="00311470" w:rsidRDefault="00311470" w:rsidP="00B30D35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20</w:t>
      </w:r>
      <w:r w:rsidRPr="00311470">
        <w:rPr>
          <w:rFonts w:ascii="Arial" w:hAnsi="Arial" w:cs="Arial"/>
          <w:bCs/>
          <w:noProof/>
          <w:lang w:val="pl-PL"/>
        </w:rPr>
        <w:t xml:space="preserve"> – </w:t>
      </w:r>
      <w:r w:rsidR="00114759" w:rsidRPr="00311470">
        <w:rPr>
          <w:rFonts w:ascii="Arial" w:hAnsi="Arial" w:cs="Arial"/>
          <w:noProof/>
        </w:rPr>
        <w:t>označava</w:t>
      </w:r>
      <w:r w:rsidR="00114759" w:rsidRPr="00311470">
        <w:rPr>
          <w:rFonts w:ascii="Arial" w:hAnsi="Arial" w:cs="Arial"/>
          <w:bCs/>
          <w:noProof/>
          <w:lang w:val="pl-PL"/>
        </w:rPr>
        <w:t xml:space="preserve"> </w:t>
      </w:r>
      <w:r w:rsidRPr="00311470">
        <w:rPr>
          <w:rFonts w:ascii="Arial" w:hAnsi="Arial" w:cs="Arial"/>
          <w:bCs/>
          <w:noProof/>
          <w:lang w:val="pl-PL"/>
        </w:rPr>
        <w:t>broj bodova za ovaj kriterijum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6C369A" w:rsidRDefault="00DA32D5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6C369A" w:rsidRDefault="00DA32D5" w:rsidP="00B30D35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3" w:name="_Toc436124904"/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:rsidR="00DA32D5" w:rsidRPr="006C369A" w:rsidRDefault="00DA32D5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plasman proizvoda i usluga na tržište.</w:t>
      </w:r>
    </w:p>
    <w:p w:rsidR="004278EC" w:rsidRDefault="004278EC" w:rsidP="00B30D35">
      <w:pPr>
        <w:spacing w:after="0" w:line="240" w:lineRule="auto"/>
        <w:rPr>
          <w:rFonts w:ascii="Arial" w:hAnsi="Arial" w:cs="Arial"/>
          <w:noProof/>
        </w:rPr>
      </w:pP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proceduru bodovanja ulaze reference potvrđene od strane Tenderske komisije.</w:t>
      </w:r>
    </w:p>
    <w:p w:rsidR="00114759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lastRenderedPageBreak/>
        <w:t>Ponuđač koji ne dokaže ili ne dostavi reference dobija 0 bodova.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Kriterijum: BPR / NBPR x 15,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gdje: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BPR</w:t>
      </w:r>
      <w:r w:rsidRPr="00B62730">
        <w:rPr>
          <w:rFonts w:ascii="Arial" w:hAnsi="Arial" w:cs="Arial"/>
          <w:noProof/>
        </w:rPr>
        <w:t>- označava broj potvrđenih referenci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NBPR</w:t>
      </w:r>
      <w:r w:rsidRPr="00B62730">
        <w:rPr>
          <w:rFonts w:ascii="Arial" w:hAnsi="Arial" w:cs="Arial"/>
          <w:noProof/>
        </w:rPr>
        <w:t>- označava najveći broj potvrđenih referenci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15</w:t>
      </w:r>
      <w:r w:rsidRPr="00B62730">
        <w:rPr>
          <w:rFonts w:ascii="Arial" w:hAnsi="Arial" w:cs="Arial"/>
          <w:noProof/>
        </w:rPr>
        <w:t>- označava broj bodova za ovaj kriterijum</w:t>
      </w:r>
    </w:p>
    <w:p w:rsidR="00114759" w:rsidRPr="00B62730" w:rsidRDefault="00114759" w:rsidP="00B30D35">
      <w:pPr>
        <w:spacing w:after="0" w:line="240" w:lineRule="auto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DA32D5" w:rsidRPr="006C369A" w:rsidRDefault="00DA32D5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6C369A" w:rsidRDefault="00DA32D5" w:rsidP="00B30D35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CC790E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:rsidR="00DA32D5" w:rsidRPr="006C369A" w:rsidRDefault="00DA32D5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PBP / MBP x 10,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 xml:space="preserve">PBP – </w:t>
      </w:r>
      <w:r w:rsidRPr="00311470">
        <w:rPr>
          <w:rFonts w:ascii="Arial" w:hAnsi="Arial" w:cs="Arial"/>
          <w:noProof/>
        </w:rPr>
        <w:t>označava prosječni bruto prihod ponuđača za posljednje tri godine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MBP –</w:t>
      </w:r>
      <w:r w:rsidRPr="0031147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311470" w:rsidRPr="00311470" w:rsidRDefault="00311470" w:rsidP="00B30D35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10 –</w:t>
      </w:r>
      <w:r w:rsidRPr="00311470">
        <w:rPr>
          <w:rFonts w:ascii="Arial" w:hAnsi="Arial" w:cs="Arial"/>
          <w:noProof/>
          <w:lang w:val="pl-PL"/>
        </w:rPr>
        <w:t>označava broj bodova po ovom kriterijumu</w:t>
      </w: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:rsidR="00311470" w:rsidRPr="00311470" w:rsidRDefault="00311470" w:rsidP="00B30D35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114759" w:rsidRDefault="00DA32D5" w:rsidP="00B30D35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6" w:name="_Toc436124908"/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</w:t>
      </w:r>
      <w:r w:rsidR="00603C98" w:rsidRPr="006C369A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razvoj</w:t>
      </w:r>
      <w:bookmarkEnd w:id="6"/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311470" w:rsidRPr="00311470" w:rsidRDefault="00311470" w:rsidP="00B30D3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</w:t>
      </w:r>
      <w:r w:rsidR="00C00BC9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hiljada eura), u formatu koji odgovara primjeru datom u Obrascu C, koja je izdata na ime i za račun Ministarstva.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6C369A" w:rsidRDefault="009045C6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0E1564" w:rsidRPr="006C369A" w:rsidRDefault="000E1564" w:rsidP="00B30D35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7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7"/>
    </w:p>
    <w:p w:rsidR="000E1564" w:rsidRPr="006C369A" w:rsidRDefault="000E1564" w:rsidP="00B30D35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8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8"/>
      <w:r w:rsidR="00D1644D" w:rsidRPr="006C369A">
        <w:rPr>
          <w:rFonts w:ascii="Arial" w:hAnsi="Arial" w:cs="Arial"/>
          <w:noProof/>
        </w:rPr>
        <w:t>ili</w:t>
      </w:r>
    </w:p>
    <w:p w:rsidR="00D1644D" w:rsidRPr="006C369A" w:rsidRDefault="00D1644D" w:rsidP="00B30D35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:rsidR="00B8498C" w:rsidRPr="006C369A" w:rsidRDefault="00B8498C" w:rsidP="00B30D35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6C369A" w:rsidRDefault="009045C6" w:rsidP="00B30D35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6C369A" w:rsidRDefault="00934F3A" w:rsidP="00B30D35">
      <w:pPr>
        <w:spacing w:after="0" w:line="240" w:lineRule="auto"/>
        <w:rPr>
          <w:noProof/>
        </w:rPr>
      </w:pPr>
    </w:p>
    <w:p w:rsidR="00934F3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Ponude se dostavljaju na crnogorskom jeziku. Ponude moraju pristići u arhivu Nadležnog organa najkasnije </w:t>
      </w:r>
      <w:r w:rsidRPr="0076570E">
        <w:rPr>
          <w:rFonts w:ascii="Arial" w:hAnsi="Arial" w:cs="Arial"/>
          <w:b/>
          <w:noProof/>
        </w:rPr>
        <w:t xml:space="preserve">do </w:t>
      </w:r>
      <w:r w:rsidR="0076570E" w:rsidRPr="0076570E">
        <w:rPr>
          <w:rFonts w:ascii="Arial" w:hAnsi="Arial" w:cs="Arial"/>
          <w:b/>
          <w:noProof/>
        </w:rPr>
        <w:t>2. jula</w:t>
      </w:r>
      <w:r w:rsidRPr="0076570E">
        <w:rPr>
          <w:rFonts w:ascii="Arial" w:hAnsi="Arial" w:cs="Arial"/>
          <w:b/>
          <w:bCs/>
          <w:noProof/>
        </w:rPr>
        <w:t xml:space="preserve"> 20</w:t>
      </w:r>
      <w:r w:rsidR="0076570E" w:rsidRPr="0076570E">
        <w:rPr>
          <w:rFonts w:ascii="Arial" w:hAnsi="Arial" w:cs="Arial"/>
          <w:b/>
          <w:bCs/>
          <w:noProof/>
        </w:rPr>
        <w:t>20</w:t>
      </w:r>
      <w:r w:rsidRPr="0076570E">
        <w:rPr>
          <w:rFonts w:ascii="Arial" w:hAnsi="Arial" w:cs="Arial"/>
          <w:b/>
          <w:bCs/>
          <w:noProof/>
        </w:rPr>
        <w:t>. godine do 1</w:t>
      </w:r>
      <w:r w:rsidR="00311470" w:rsidRPr="0076570E">
        <w:rPr>
          <w:rFonts w:ascii="Arial" w:hAnsi="Arial" w:cs="Arial"/>
          <w:b/>
          <w:bCs/>
          <w:noProof/>
        </w:rPr>
        <w:t>0</w:t>
      </w:r>
      <w:r w:rsidRPr="0076570E">
        <w:rPr>
          <w:rFonts w:ascii="Arial" w:hAnsi="Arial" w:cs="Arial"/>
          <w:b/>
          <w:bCs/>
          <w:noProof/>
        </w:rPr>
        <w:t>:00 časova</w:t>
      </w:r>
      <w:r w:rsidRPr="006C369A">
        <w:rPr>
          <w:rFonts w:ascii="Arial" w:hAnsi="Arial" w:cs="Arial"/>
          <w:noProof/>
        </w:rPr>
        <w:t xml:space="preserve">, što je krajnji rok za podnošenje ponude (u daljem tekstu: </w:t>
      </w:r>
      <w:r w:rsidRPr="006C369A">
        <w:rPr>
          <w:rFonts w:ascii="Arial" w:hAnsi="Arial" w:cs="Arial"/>
          <w:bCs/>
          <w:noProof/>
        </w:rPr>
        <w:t>Krajnji rok</w:t>
      </w:r>
      <w:r w:rsidRPr="006C369A">
        <w:rPr>
          <w:rFonts w:ascii="Arial" w:hAnsi="Arial" w:cs="Arial"/>
          <w:noProof/>
        </w:rPr>
        <w:t>).</w:t>
      </w:r>
    </w:p>
    <w:p w:rsidR="00C00BC9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6C369A" w:rsidRDefault="00934F3A" w:rsidP="00B30D35">
      <w:pPr>
        <w:spacing w:after="0" w:line="240" w:lineRule="auto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:rsidR="00934F3A" w:rsidRPr="006C369A" w:rsidRDefault="00934F3A" w:rsidP="00B30D35">
      <w:pPr>
        <w:spacing w:after="0" w:line="240" w:lineRule="auto"/>
        <w:rPr>
          <w:rFonts w:ascii="Arial" w:hAnsi="Arial" w:cs="Arial"/>
          <w:noProof/>
        </w:rPr>
      </w:pPr>
    </w:p>
    <w:p w:rsidR="00934F3A" w:rsidRPr="006C369A" w:rsidRDefault="00934F3A" w:rsidP="00B30D35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6C369A" w:rsidRDefault="00934F3A" w:rsidP="00B30D35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:rsidR="00934F3A" w:rsidRPr="006C369A" w:rsidRDefault="00934F3A" w:rsidP="00B30D35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:rsidR="00934F3A" w:rsidRDefault="00934F3A" w:rsidP="00B30D35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:rsidR="00C00BC9" w:rsidRPr="006C369A" w:rsidRDefault="00C00BC9" w:rsidP="00B30D35">
      <w:pPr>
        <w:spacing w:after="0" w:line="240" w:lineRule="auto"/>
        <w:rPr>
          <w:rFonts w:ascii="Arial" w:hAnsi="Arial" w:cs="Arial"/>
          <w:b/>
          <w:bCs/>
          <w:noProof/>
        </w:rPr>
      </w:pPr>
    </w:p>
    <w:p w:rsidR="00934F3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6C369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6C369A" w:rsidRDefault="00934F3A" w:rsidP="00B30D35">
      <w:pPr>
        <w:spacing w:after="0" w:line="240" w:lineRule="auto"/>
        <w:jc w:val="both"/>
        <w:rPr>
          <w:rFonts w:ascii="Arial" w:hAnsi="Arial" w:cs="Arial"/>
          <w:bCs/>
          <w:noProof/>
        </w:rPr>
      </w:pPr>
    </w:p>
    <w:p w:rsidR="00934F3A" w:rsidRDefault="00934F3A" w:rsidP="00B30D35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6C369A">
        <w:rPr>
          <w:rFonts w:ascii="Arial" w:hAnsi="Arial" w:cs="Arial"/>
          <w:bCs/>
          <w:noProof/>
        </w:rPr>
        <w:t xml:space="preserve">Prispjele ponude se </w:t>
      </w:r>
      <w:r w:rsidRPr="0076570E">
        <w:rPr>
          <w:rFonts w:ascii="Arial" w:hAnsi="Arial" w:cs="Arial"/>
          <w:bCs/>
          <w:noProof/>
        </w:rPr>
        <w:t xml:space="preserve">otvaraju </w:t>
      </w:r>
      <w:r w:rsidR="0076570E" w:rsidRPr="0076570E">
        <w:rPr>
          <w:rFonts w:ascii="Arial" w:hAnsi="Arial" w:cs="Arial"/>
          <w:b/>
          <w:bCs/>
          <w:noProof/>
        </w:rPr>
        <w:t>2. jula 2020</w:t>
      </w:r>
      <w:r w:rsidRPr="0076570E">
        <w:rPr>
          <w:rFonts w:ascii="Arial" w:hAnsi="Arial" w:cs="Arial"/>
          <w:b/>
          <w:bCs/>
          <w:noProof/>
        </w:rPr>
        <w:t>. godine u 1</w:t>
      </w:r>
      <w:r w:rsidR="00311470" w:rsidRPr="0076570E">
        <w:rPr>
          <w:rFonts w:ascii="Arial" w:hAnsi="Arial" w:cs="Arial"/>
          <w:b/>
          <w:bCs/>
          <w:noProof/>
        </w:rPr>
        <w:t>1</w:t>
      </w:r>
      <w:r w:rsidRPr="0076570E">
        <w:rPr>
          <w:rFonts w:ascii="Arial" w:hAnsi="Arial" w:cs="Arial"/>
          <w:b/>
          <w:bCs/>
          <w:noProof/>
        </w:rPr>
        <w:t>:00 časova</w:t>
      </w:r>
      <w:r w:rsidRPr="006C369A">
        <w:rPr>
          <w:rFonts w:ascii="Arial" w:hAnsi="Arial" w:cs="Arial"/>
          <w:bCs/>
          <w:noProof/>
        </w:rPr>
        <w:t xml:space="preserve"> u Konferencijskoj</w:t>
      </w:r>
      <w:r w:rsidR="001224C1" w:rsidRPr="006C369A">
        <w:rPr>
          <w:rFonts w:ascii="Arial" w:hAnsi="Arial" w:cs="Arial"/>
          <w:bCs/>
          <w:noProof/>
        </w:rPr>
        <w:t xml:space="preserve"> S</w:t>
      </w:r>
      <w:r w:rsidRPr="006C369A">
        <w:rPr>
          <w:rFonts w:ascii="Arial" w:hAnsi="Arial" w:cs="Arial"/>
          <w:bCs/>
          <w:noProof/>
        </w:rPr>
        <w:t>ali</w:t>
      </w:r>
      <w:r w:rsidR="001224C1" w:rsidRPr="006C369A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Nadležnog</w:t>
      </w:r>
      <w:r w:rsidR="001224C1" w:rsidRPr="006C369A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organa, Rimski</w:t>
      </w:r>
      <w:r w:rsidR="001224C1" w:rsidRPr="006C369A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trg</w:t>
      </w:r>
      <w:r w:rsidR="001224C1" w:rsidRPr="006C369A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 xml:space="preserve">broj 46, Podgorica. </w:t>
      </w: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6C369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</w:t>
      </w:r>
      <w:bookmarkStart w:id="9" w:name="_GoBack"/>
      <w:bookmarkEnd w:id="9"/>
      <w:r w:rsidRPr="006C369A">
        <w:rPr>
          <w:rFonts w:ascii="Arial" w:hAnsi="Arial" w:cs="Arial"/>
          <w:noProof/>
        </w:rPr>
        <w:t>avnom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:rsidR="00934F3A" w:rsidRPr="006C369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:rsidR="00C00BC9" w:rsidRPr="006C369A" w:rsidRDefault="00C00BC9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6C369A" w:rsidRDefault="00934F3A" w:rsidP="00B30D35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03C98" w:rsidRPr="006C369A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03C98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1A5E61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p w:rsidR="0023346C" w:rsidRPr="006C369A" w:rsidRDefault="0023346C" w:rsidP="00B30D35">
      <w:pPr>
        <w:spacing w:after="0" w:line="240" w:lineRule="auto"/>
        <w:jc w:val="both"/>
        <w:rPr>
          <w:rFonts w:ascii="Arial" w:hAnsi="Arial" w:cs="Arial"/>
          <w:noProof/>
        </w:rPr>
      </w:pPr>
    </w:p>
    <w:sectPr w:rsidR="0023346C" w:rsidRPr="006C369A" w:rsidSect="00B30D35">
      <w:footerReference w:type="default" r:id="rId14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DC0" w:rsidRDefault="005A0DC0" w:rsidP="00577803">
      <w:pPr>
        <w:spacing w:after="0" w:line="240" w:lineRule="auto"/>
      </w:pPr>
      <w:r>
        <w:separator/>
      </w:r>
    </w:p>
  </w:endnote>
  <w:endnote w:type="continuationSeparator" w:id="0">
    <w:p w:rsidR="005A0DC0" w:rsidRDefault="005A0DC0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5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9D2864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A7798A" w:rsidRPr="00A7798A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3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AA110D" w:rsidRDefault="003767B1" w:rsidP="00114759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Koncesioni akt o </w:t>
          </w:r>
          <w:r w:rsidR="00114759">
            <w:rPr>
              <w:rFonts w:ascii="Arial" w:hAnsi="Arial" w:cs="Arial"/>
              <w:noProof/>
              <w:sz w:val="16"/>
              <w:szCs w:val="16"/>
            </w:rPr>
            <w:t>pojavi mineralne sirovine</w:t>
          </w: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 tehničko-građevinskog kamena </w:t>
          </w:r>
          <w:r w:rsidR="00FC65F0" w:rsidRPr="00AA110D">
            <w:rPr>
              <w:rFonts w:ascii="Arial" w:hAnsi="Arial" w:cs="Arial"/>
              <w:sz w:val="16"/>
              <w:szCs w:val="16"/>
              <w:lang w:val="sr-Latn-CS"/>
            </w:rPr>
            <w:t xml:space="preserve">„Kurilo”, </w:t>
          </w:r>
          <w:r w:rsidR="00AA110D" w:rsidRPr="00AA110D">
            <w:rPr>
              <w:rFonts w:ascii="Arial" w:hAnsi="Arial" w:cs="Arial"/>
              <w:sz w:val="16"/>
              <w:szCs w:val="16"/>
              <w:lang w:val="sr-Latn-CS"/>
            </w:rPr>
            <w:t>O</w:t>
          </w:r>
          <w:r w:rsidR="00FC65F0" w:rsidRPr="00AA110D">
            <w:rPr>
              <w:rFonts w:ascii="Arial" w:hAnsi="Arial" w:cs="Arial"/>
              <w:sz w:val="16"/>
              <w:szCs w:val="16"/>
              <w:lang w:val="sr-Latn-CS"/>
            </w:rPr>
            <w:t>pština Bijelo Polje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DC0" w:rsidRDefault="005A0DC0" w:rsidP="00577803">
      <w:pPr>
        <w:spacing w:after="0" w:line="240" w:lineRule="auto"/>
      </w:pPr>
      <w:r>
        <w:separator/>
      </w:r>
    </w:p>
  </w:footnote>
  <w:footnote w:type="continuationSeparator" w:id="0">
    <w:p w:rsidR="005A0DC0" w:rsidRDefault="005A0DC0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045C6"/>
    <w:rsid w:val="00000DF2"/>
    <w:rsid w:val="000208AF"/>
    <w:rsid w:val="0002611D"/>
    <w:rsid w:val="000428A5"/>
    <w:rsid w:val="0005633A"/>
    <w:rsid w:val="000765F5"/>
    <w:rsid w:val="00081F9A"/>
    <w:rsid w:val="00083B53"/>
    <w:rsid w:val="00094FF4"/>
    <w:rsid w:val="00096D20"/>
    <w:rsid w:val="000A4F55"/>
    <w:rsid w:val="000B5834"/>
    <w:rsid w:val="000C7676"/>
    <w:rsid w:val="000D384A"/>
    <w:rsid w:val="000D672D"/>
    <w:rsid w:val="000D6F2B"/>
    <w:rsid w:val="000D7F8A"/>
    <w:rsid w:val="000E1564"/>
    <w:rsid w:val="000E793E"/>
    <w:rsid w:val="0011233A"/>
    <w:rsid w:val="001146BD"/>
    <w:rsid w:val="00114759"/>
    <w:rsid w:val="001224C1"/>
    <w:rsid w:val="00124853"/>
    <w:rsid w:val="00126B6C"/>
    <w:rsid w:val="001326E2"/>
    <w:rsid w:val="001335CF"/>
    <w:rsid w:val="00135541"/>
    <w:rsid w:val="00136BFC"/>
    <w:rsid w:val="00152984"/>
    <w:rsid w:val="00152EED"/>
    <w:rsid w:val="00167C46"/>
    <w:rsid w:val="001727DA"/>
    <w:rsid w:val="001A5E61"/>
    <w:rsid w:val="001A70DF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B05F3"/>
    <w:rsid w:val="002B23C0"/>
    <w:rsid w:val="002C0D74"/>
    <w:rsid w:val="002C6EEA"/>
    <w:rsid w:val="002D3BEB"/>
    <w:rsid w:val="002E07D2"/>
    <w:rsid w:val="002E2BD7"/>
    <w:rsid w:val="00311470"/>
    <w:rsid w:val="00312C6D"/>
    <w:rsid w:val="003551B5"/>
    <w:rsid w:val="00355C9C"/>
    <w:rsid w:val="00360BD4"/>
    <w:rsid w:val="00363318"/>
    <w:rsid w:val="0036662E"/>
    <w:rsid w:val="00370F4A"/>
    <w:rsid w:val="00374668"/>
    <w:rsid w:val="003767B1"/>
    <w:rsid w:val="00384D4C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278EC"/>
    <w:rsid w:val="004404EB"/>
    <w:rsid w:val="00442F1D"/>
    <w:rsid w:val="00461D49"/>
    <w:rsid w:val="00476650"/>
    <w:rsid w:val="00491D9B"/>
    <w:rsid w:val="004B2B91"/>
    <w:rsid w:val="005007B5"/>
    <w:rsid w:val="00503217"/>
    <w:rsid w:val="0050368C"/>
    <w:rsid w:val="00504D0C"/>
    <w:rsid w:val="005124C2"/>
    <w:rsid w:val="00513F8C"/>
    <w:rsid w:val="0053196C"/>
    <w:rsid w:val="00571092"/>
    <w:rsid w:val="00577803"/>
    <w:rsid w:val="00581B9B"/>
    <w:rsid w:val="005A0DC0"/>
    <w:rsid w:val="005A7510"/>
    <w:rsid w:val="005B1AEA"/>
    <w:rsid w:val="005E023B"/>
    <w:rsid w:val="005E0D81"/>
    <w:rsid w:val="005F4DFA"/>
    <w:rsid w:val="00603C98"/>
    <w:rsid w:val="0061240F"/>
    <w:rsid w:val="00617573"/>
    <w:rsid w:val="00617CFF"/>
    <w:rsid w:val="00623FCA"/>
    <w:rsid w:val="006407E5"/>
    <w:rsid w:val="00647B68"/>
    <w:rsid w:val="00665E47"/>
    <w:rsid w:val="00685751"/>
    <w:rsid w:val="006B4408"/>
    <w:rsid w:val="006B56FD"/>
    <w:rsid w:val="006C369A"/>
    <w:rsid w:val="006C71AE"/>
    <w:rsid w:val="006C739B"/>
    <w:rsid w:val="006E07D3"/>
    <w:rsid w:val="006F3878"/>
    <w:rsid w:val="00700957"/>
    <w:rsid w:val="00717EFE"/>
    <w:rsid w:val="00735EBC"/>
    <w:rsid w:val="00743B33"/>
    <w:rsid w:val="007466D2"/>
    <w:rsid w:val="007560D9"/>
    <w:rsid w:val="0075610E"/>
    <w:rsid w:val="00761861"/>
    <w:rsid w:val="0076570E"/>
    <w:rsid w:val="00766EE2"/>
    <w:rsid w:val="00775276"/>
    <w:rsid w:val="0078013D"/>
    <w:rsid w:val="00793F86"/>
    <w:rsid w:val="007A6A70"/>
    <w:rsid w:val="007B1A7C"/>
    <w:rsid w:val="007B20F5"/>
    <w:rsid w:val="007C74CB"/>
    <w:rsid w:val="007E02C9"/>
    <w:rsid w:val="007E77F0"/>
    <w:rsid w:val="007F0AC7"/>
    <w:rsid w:val="00800E0E"/>
    <w:rsid w:val="008062B7"/>
    <w:rsid w:val="008113D5"/>
    <w:rsid w:val="00812FD3"/>
    <w:rsid w:val="00825315"/>
    <w:rsid w:val="0085748C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BF3"/>
    <w:rsid w:val="008F4A1F"/>
    <w:rsid w:val="008F6EDF"/>
    <w:rsid w:val="00901EE0"/>
    <w:rsid w:val="009045C6"/>
    <w:rsid w:val="00920B77"/>
    <w:rsid w:val="00934F3A"/>
    <w:rsid w:val="00936AA5"/>
    <w:rsid w:val="00936AE9"/>
    <w:rsid w:val="009421A7"/>
    <w:rsid w:val="00952A29"/>
    <w:rsid w:val="00975057"/>
    <w:rsid w:val="009B68C9"/>
    <w:rsid w:val="009C1BED"/>
    <w:rsid w:val="009C2819"/>
    <w:rsid w:val="009C65D3"/>
    <w:rsid w:val="009D0E7F"/>
    <w:rsid w:val="009D2864"/>
    <w:rsid w:val="009D3A19"/>
    <w:rsid w:val="009D468C"/>
    <w:rsid w:val="009E71C8"/>
    <w:rsid w:val="009F14A0"/>
    <w:rsid w:val="00A00BEA"/>
    <w:rsid w:val="00A109E4"/>
    <w:rsid w:val="00A218DA"/>
    <w:rsid w:val="00A23BBE"/>
    <w:rsid w:val="00A26A6C"/>
    <w:rsid w:val="00A33078"/>
    <w:rsid w:val="00A433FA"/>
    <w:rsid w:val="00A44C64"/>
    <w:rsid w:val="00A51C33"/>
    <w:rsid w:val="00A57B42"/>
    <w:rsid w:val="00A624CE"/>
    <w:rsid w:val="00A70A16"/>
    <w:rsid w:val="00A762BF"/>
    <w:rsid w:val="00A7798A"/>
    <w:rsid w:val="00A90D7F"/>
    <w:rsid w:val="00AA110D"/>
    <w:rsid w:val="00AA2A7D"/>
    <w:rsid w:val="00AC20C8"/>
    <w:rsid w:val="00AC6004"/>
    <w:rsid w:val="00AD13E0"/>
    <w:rsid w:val="00AD34D0"/>
    <w:rsid w:val="00AD3CCB"/>
    <w:rsid w:val="00AD79E9"/>
    <w:rsid w:val="00AE383B"/>
    <w:rsid w:val="00AE40BA"/>
    <w:rsid w:val="00AF0B1B"/>
    <w:rsid w:val="00AF218D"/>
    <w:rsid w:val="00B22935"/>
    <w:rsid w:val="00B26FB2"/>
    <w:rsid w:val="00B30D35"/>
    <w:rsid w:val="00B3341C"/>
    <w:rsid w:val="00B56AC7"/>
    <w:rsid w:val="00B835DE"/>
    <w:rsid w:val="00B8498C"/>
    <w:rsid w:val="00B8680E"/>
    <w:rsid w:val="00BB3F50"/>
    <w:rsid w:val="00BC4228"/>
    <w:rsid w:val="00BF1193"/>
    <w:rsid w:val="00BF22A5"/>
    <w:rsid w:val="00C00BC9"/>
    <w:rsid w:val="00C23BFE"/>
    <w:rsid w:val="00C27567"/>
    <w:rsid w:val="00C34CE5"/>
    <w:rsid w:val="00C50960"/>
    <w:rsid w:val="00C52B8D"/>
    <w:rsid w:val="00C56963"/>
    <w:rsid w:val="00C81811"/>
    <w:rsid w:val="00C927A2"/>
    <w:rsid w:val="00CA77F7"/>
    <w:rsid w:val="00CB3203"/>
    <w:rsid w:val="00CB586E"/>
    <w:rsid w:val="00CC1B7F"/>
    <w:rsid w:val="00CC790E"/>
    <w:rsid w:val="00CD3F67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84BE6"/>
    <w:rsid w:val="00D90072"/>
    <w:rsid w:val="00DA32D5"/>
    <w:rsid w:val="00DA76D2"/>
    <w:rsid w:val="00DC13B4"/>
    <w:rsid w:val="00DC2DA2"/>
    <w:rsid w:val="00DD3DF5"/>
    <w:rsid w:val="00E16CF5"/>
    <w:rsid w:val="00E20F1F"/>
    <w:rsid w:val="00E2776A"/>
    <w:rsid w:val="00E35ABF"/>
    <w:rsid w:val="00E40806"/>
    <w:rsid w:val="00E42550"/>
    <w:rsid w:val="00E474B9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F15F3C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A24C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87295D13-B9B8-49FE-91CD-1F9CC7293589}" type="presOf" srcId="{F56F2958-2456-4C64-93C1-BF1F8EFCA079}" destId="{5A710E42-E672-4096-9C6F-747E9EBBD449}" srcOrd="1" destOrd="0" presId="urn:microsoft.com/office/officeart/2005/8/layout/orgChart1"/>
    <dgm:cxn modelId="{72B0A606-9422-4BDE-8E1D-CD84EEF650E0}" type="presOf" srcId="{9C450286-2851-4E58-B502-0B8884031C8A}" destId="{EA88A9BC-36C4-4A20-8237-CA067FC5202E}" srcOrd="1" destOrd="0" presId="urn:microsoft.com/office/officeart/2005/8/layout/orgChart1"/>
    <dgm:cxn modelId="{849438D4-C45B-41DB-BEFE-0F92B6322F9C}" type="presOf" srcId="{7F914D03-E706-4E49-99C3-1C822043BF6E}" destId="{CFC3028B-D4F7-4B5C-9396-D7772235AD4B}" srcOrd="1" destOrd="0" presId="urn:microsoft.com/office/officeart/2005/8/layout/orgChart1"/>
    <dgm:cxn modelId="{4E2175EC-ADE9-458F-9F2A-C13A09783DA2}" type="presOf" srcId="{599074BF-21B8-42A2-AA16-7986D1598514}" destId="{827B842E-8958-4E19-9396-BE1EFAA5BA61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F415F83F-3277-4FA0-9912-FF5CF39A2CA2}" type="presOf" srcId="{A8C11D85-3712-409E-97D2-E46A0BB7019A}" destId="{AAB47639-DB41-4CE3-8A57-6C948470C526}" srcOrd="0" destOrd="0" presId="urn:microsoft.com/office/officeart/2005/8/layout/orgChart1"/>
    <dgm:cxn modelId="{4B6C91A3-D3FA-4E5E-8510-2BBF2C60727F}" type="presOf" srcId="{43663D0D-E620-4023-A0AC-44753AD53092}" destId="{752C2A58-EC28-4D71-822A-73E1A95949DA}" srcOrd="0" destOrd="0" presId="urn:microsoft.com/office/officeart/2005/8/layout/orgChart1"/>
    <dgm:cxn modelId="{24A45185-1E96-4260-9A93-8C91748D49E8}" type="presOf" srcId="{3F2868D2-FD45-4C9D-BD16-7F12CB22B0E0}" destId="{FE1DDC4B-2FDC-404A-8230-65A0AA5FB46B}" srcOrd="0" destOrd="0" presId="urn:microsoft.com/office/officeart/2005/8/layout/orgChart1"/>
    <dgm:cxn modelId="{2AF9D846-7338-48B5-A052-FBD7A50CA116}" type="presOf" srcId="{8B88A665-9315-4788-90CC-ED5802A9F43C}" destId="{D20A6C82-7488-4B67-AC13-659445510D43}" srcOrd="1" destOrd="0" presId="urn:microsoft.com/office/officeart/2005/8/layout/orgChart1"/>
    <dgm:cxn modelId="{FAC52D7A-8C0E-42C0-A261-68790D97C6BD}" type="presOf" srcId="{9C450286-2851-4E58-B502-0B8884031C8A}" destId="{F6102BFC-83BB-4026-B3CB-60ADB1BCBB06}" srcOrd="0" destOrd="0" presId="urn:microsoft.com/office/officeart/2005/8/layout/orgChart1"/>
    <dgm:cxn modelId="{789F95FB-40AC-462A-86E4-01EB6C960BD3}" type="presOf" srcId="{599074BF-21B8-42A2-AA16-7986D1598514}" destId="{D10DA27A-EC79-48FE-9D2E-14231B8046FB}" srcOrd="1" destOrd="0" presId="urn:microsoft.com/office/officeart/2005/8/layout/orgChart1"/>
    <dgm:cxn modelId="{26C61110-A916-4E16-B4FA-6E456148DDB5}" type="presOf" srcId="{0DE17670-E157-4B07-8006-E764EBD90DAF}" destId="{5B5BB255-7C27-4C1D-B48A-4CCE6A5F665E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FB981FA3-2906-4C20-A04A-29BFA23400DC}" type="presOf" srcId="{F56F2958-2456-4C64-93C1-BF1F8EFCA079}" destId="{9729E57B-D448-448E-8C16-1A1C56ED4210}" srcOrd="0" destOrd="0" presId="urn:microsoft.com/office/officeart/2005/8/layout/orgChart1"/>
    <dgm:cxn modelId="{FA60B311-333C-4D9E-AD1A-F2BF35DFEDA6}" type="presOf" srcId="{63CA113F-5618-4FA8-8115-AF9B0520FD1F}" destId="{51B137D1-F900-4608-AEF6-AE3713AA45A5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0E9BCA1D-AD48-42FA-A3C0-7100B26C78AC}" type="presOf" srcId="{6B0688F6-9F76-4FCB-BB55-F1257A22D8DD}" destId="{C593B2B0-15BE-4602-8FF5-D4072421A446}" srcOrd="0" destOrd="0" presId="urn:microsoft.com/office/officeart/2005/8/layout/orgChart1"/>
    <dgm:cxn modelId="{6919ABED-2742-4631-92B6-D7F6793D918C}" type="presOf" srcId="{6371D924-B161-43D3-B5AC-9B74670F1FC4}" destId="{17ED256A-C5BE-419C-AB96-0115162CB649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6B04760D-7040-4381-A037-32B7E09966A7}" type="presOf" srcId="{6C0F04BD-764B-4969-A24F-D15846C82DD8}" destId="{E303C5EF-EC38-4269-A3CC-3D72E558323B}" srcOrd="0" destOrd="0" presId="urn:microsoft.com/office/officeart/2005/8/layout/orgChart1"/>
    <dgm:cxn modelId="{7E33E3C9-DD30-4359-950A-8A3DC29B0542}" type="presOf" srcId="{00C007BD-0F79-4E7F-AB3F-2723DC3AB934}" destId="{4108FB7F-D83D-4927-AD53-755B964CBF6B}" srcOrd="0" destOrd="0" presId="urn:microsoft.com/office/officeart/2005/8/layout/orgChart1"/>
    <dgm:cxn modelId="{7A5B8FB3-CB13-4FBE-81C5-E886EEECAAE5}" type="presOf" srcId="{A8C11D85-3712-409E-97D2-E46A0BB7019A}" destId="{194D7AB7-3693-43AF-9138-98A533A86240}" srcOrd="1" destOrd="0" presId="urn:microsoft.com/office/officeart/2005/8/layout/orgChart1"/>
    <dgm:cxn modelId="{4DBBDACE-5F19-4923-A5C4-3E97CB3CF040}" type="presOf" srcId="{8B88A665-9315-4788-90CC-ED5802A9F43C}" destId="{ED9A3599-C331-4196-8839-B107FE73C4A7}" srcOrd="0" destOrd="0" presId="urn:microsoft.com/office/officeart/2005/8/layout/orgChart1"/>
    <dgm:cxn modelId="{C1E2D5FA-F26B-4DBA-87B2-1431F7206BE6}" type="presOf" srcId="{7F914D03-E706-4E49-99C3-1C822043BF6E}" destId="{0234C891-C16A-4A1F-BE72-409AC7CF6649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65B3CB55-8B5A-4073-8614-26EBEFC647EF}" type="presOf" srcId="{0DE17670-E157-4B07-8006-E764EBD90DAF}" destId="{FED0285A-9C90-4CB8-8DAB-FD033CC83C7F}" srcOrd="1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0B6D4B67-C5D2-42E3-8167-D6CC81FB14E5}" type="presParOf" srcId="{752C2A58-EC28-4D71-822A-73E1A95949DA}" destId="{493AC0C5-73D9-4E25-BEA1-CE9E738F27CB}" srcOrd="0" destOrd="0" presId="urn:microsoft.com/office/officeart/2005/8/layout/orgChart1"/>
    <dgm:cxn modelId="{635C1E5B-DE57-4620-AED5-E91DF123278F}" type="presParOf" srcId="{493AC0C5-73D9-4E25-BEA1-CE9E738F27CB}" destId="{941D08DD-87E5-4538-BC3B-3F9E39A725EB}" srcOrd="0" destOrd="0" presId="urn:microsoft.com/office/officeart/2005/8/layout/orgChart1"/>
    <dgm:cxn modelId="{4B191A90-E217-4147-82C3-DA2980841BC2}" type="presParOf" srcId="{941D08DD-87E5-4538-BC3B-3F9E39A725EB}" destId="{ED9A3599-C331-4196-8839-B107FE73C4A7}" srcOrd="0" destOrd="0" presId="urn:microsoft.com/office/officeart/2005/8/layout/orgChart1"/>
    <dgm:cxn modelId="{A3FA52CC-69E6-4B39-94CA-37BD2B9751D8}" type="presParOf" srcId="{941D08DD-87E5-4538-BC3B-3F9E39A725EB}" destId="{D20A6C82-7488-4B67-AC13-659445510D43}" srcOrd="1" destOrd="0" presId="urn:microsoft.com/office/officeart/2005/8/layout/orgChart1"/>
    <dgm:cxn modelId="{757A19E4-B676-4DE3-B45B-D93EB9F3C1A7}" type="presParOf" srcId="{493AC0C5-73D9-4E25-BEA1-CE9E738F27CB}" destId="{ED0AF4C6-449C-4E83-84AC-92E6FA1DA217}" srcOrd="1" destOrd="0" presId="urn:microsoft.com/office/officeart/2005/8/layout/orgChart1"/>
    <dgm:cxn modelId="{2CF42A6C-3FCD-4AC1-BA9C-DE7506E21EFF}" type="presParOf" srcId="{ED0AF4C6-449C-4E83-84AC-92E6FA1DA217}" destId="{4108FB7F-D83D-4927-AD53-755B964CBF6B}" srcOrd="0" destOrd="0" presId="urn:microsoft.com/office/officeart/2005/8/layout/orgChart1"/>
    <dgm:cxn modelId="{AC297963-72E7-47AC-BEF0-B57D24A3C21D}" type="presParOf" srcId="{ED0AF4C6-449C-4E83-84AC-92E6FA1DA217}" destId="{0CD65E19-8206-4035-8EEF-17799E8DD7FC}" srcOrd="1" destOrd="0" presId="urn:microsoft.com/office/officeart/2005/8/layout/orgChart1"/>
    <dgm:cxn modelId="{96E68F9B-2521-4E8C-B7B7-C25424B7362B}" type="presParOf" srcId="{0CD65E19-8206-4035-8EEF-17799E8DD7FC}" destId="{78993255-9D47-4ADB-8FC8-D548883316D2}" srcOrd="0" destOrd="0" presId="urn:microsoft.com/office/officeart/2005/8/layout/orgChart1"/>
    <dgm:cxn modelId="{AAE3B2E5-0BB7-4614-8B51-DB4CF8F87A51}" type="presParOf" srcId="{78993255-9D47-4ADB-8FC8-D548883316D2}" destId="{AAB47639-DB41-4CE3-8A57-6C948470C526}" srcOrd="0" destOrd="0" presId="urn:microsoft.com/office/officeart/2005/8/layout/orgChart1"/>
    <dgm:cxn modelId="{C34B6890-C3A2-4D07-94C4-9E48B95BBB81}" type="presParOf" srcId="{78993255-9D47-4ADB-8FC8-D548883316D2}" destId="{194D7AB7-3693-43AF-9138-98A533A86240}" srcOrd="1" destOrd="0" presId="urn:microsoft.com/office/officeart/2005/8/layout/orgChart1"/>
    <dgm:cxn modelId="{4E6F6F89-E35E-4897-8848-C6D490541E5C}" type="presParOf" srcId="{0CD65E19-8206-4035-8EEF-17799E8DD7FC}" destId="{45D38957-A2AB-42FB-A7A7-7D4C72A59C3A}" srcOrd="1" destOrd="0" presId="urn:microsoft.com/office/officeart/2005/8/layout/orgChart1"/>
    <dgm:cxn modelId="{8D252CA3-0363-4ECA-8DE0-45F080739790}" type="presParOf" srcId="{45D38957-A2AB-42FB-A7A7-7D4C72A59C3A}" destId="{FE1DDC4B-2FDC-404A-8230-65A0AA5FB46B}" srcOrd="0" destOrd="0" presId="urn:microsoft.com/office/officeart/2005/8/layout/orgChart1"/>
    <dgm:cxn modelId="{2DEA9DCA-150B-4C9A-94AC-53CA559068EC}" type="presParOf" srcId="{45D38957-A2AB-42FB-A7A7-7D4C72A59C3A}" destId="{D5D9D222-22AA-480A-87CD-7BAF88DDE2FA}" srcOrd="1" destOrd="0" presId="urn:microsoft.com/office/officeart/2005/8/layout/orgChart1"/>
    <dgm:cxn modelId="{8B07C253-A225-4E3B-8687-07A520489604}" type="presParOf" srcId="{D5D9D222-22AA-480A-87CD-7BAF88DDE2FA}" destId="{59DE2708-C38A-4C07-BCA5-F996DEBE0F84}" srcOrd="0" destOrd="0" presId="urn:microsoft.com/office/officeart/2005/8/layout/orgChart1"/>
    <dgm:cxn modelId="{86DD5FE0-53EC-41CE-8DE7-131818AD9593}" type="presParOf" srcId="{59DE2708-C38A-4C07-BCA5-F996DEBE0F84}" destId="{827B842E-8958-4E19-9396-BE1EFAA5BA61}" srcOrd="0" destOrd="0" presId="urn:microsoft.com/office/officeart/2005/8/layout/orgChart1"/>
    <dgm:cxn modelId="{C1902452-D7C5-44EF-81CD-ECEE5A0E8927}" type="presParOf" srcId="{59DE2708-C38A-4C07-BCA5-F996DEBE0F84}" destId="{D10DA27A-EC79-48FE-9D2E-14231B8046FB}" srcOrd="1" destOrd="0" presId="urn:microsoft.com/office/officeart/2005/8/layout/orgChart1"/>
    <dgm:cxn modelId="{73A02319-2769-44F9-A32D-12EA7087D0A0}" type="presParOf" srcId="{D5D9D222-22AA-480A-87CD-7BAF88DDE2FA}" destId="{37391F71-4CFE-400C-9F38-2B26CF819896}" srcOrd="1" destOrd="0" presId="urn:microsoft.com/office/officeart/2005/8/layout/orgChart1"/>
    <dgm:cxn modelId="{8E94EDC6-9565-4518-9DF2-A6449F1E30D8}" type="presParOf" srcId="{D5D9D222-22AA-480A-87CD-7BAF88DDE2FA}" destId="{083A8CEE-25CC-4491-A20F-CC44BCAEB4EE}" srcOrd="2" destOrd="0" presId="urn:microsoft.com/office/officeart/2005/8/layout/orgChart1"/>
    <dgm:cxn modelId="{AC9CD44B-F07A-4F84-9C53-5A925FC5A322}" type="presParOf" srcId="{45D38957-A2AB-42FB-A7A7-7D4C72A59C3A}" destId="{17ED256A-C5BE-419C-AB96-0115162CB649}" srcOrd="2" destOrd="0" presId="urn:microsoft.com/office/officeart/2005/8/layout/orgChart1"/>
    <dgm:cxn modelId="{90D1688E-795C-4C9A-98E4-8C91D1C18F33}" type="presParOf" srcId="{45D38957-A2AB-42FB-A7A7-7D4C72A59C3A}" destId="{5A134DD1-556D-4D85-BFC3-80848FE0B0DE}" srcOrd="3" destOrd="0" presId="urn:microsoft.com/office/officeart/2005/8/layout/orgChart1"/>
    <dgm:cxn modelId="{28CDB15A-14DE-4199-BC3F-7D0ED79EDD78}" type="presParOf" srcId="{5A134DD1-556D-4D85-BFC3-80848FE0B0DE}" destId="{2B7A0949-E4A4-4824-8E68-31604FCB90F9}" srcOrd="0" destOrd="0" presId="urn:microsoft.com/office/officeart/2005/8/layout/orgChart1"/>
    <dgm:cxn modelId="{0294346D-0A53-4625-B62D-2D50CA1C34F1}" type="presParOf" srcId="{2B7A0949-E4A4-4824-8E68-31604FCB90F9}" destId="{F6102BFC-83BB-4026-B3CB-60ADB1BCBB06}" srcOrd="0" destOrd="0" presId="urn:microsoft.com/office/officeart/2005/8/layout/orgChart1"/>
    <dgm:cxn modelId="{555DF575-3D62-42F7-A581-9E234F70D122}" type="presParOf" srcId="{2B7A0949-E4A4-4824-8E68-31604FCB90F9}" destId="{EA88A9BC-36C4-4A20-8237-CA067FC5202E}" srcOrd="1" destOrd="0" presId="urn:microsoft.com/office/officeart/2005/8/layout/orgChart1"/>
    <dgm:cxn modelId="{9BC6D7C7-B4A5-41CE-A381-6E6A2C0C2BD7}" type="presParOf" srcId="{5A134DD1-556D-4D85-BFC3-80848FE0B0DE}" destId="{B98719F5-C1D9-4816-B10A-D951885EDE92}" srcOrd="1" destOrd="0" presId="urn:microsoft.com/office/officeart/2005/8/layout/orgChart1"/>
    <dgm:cxn modelId="{F16FE4C5-1350-4BA8-B8E0-79B45BED1FD9}" type="presParOf" srcId="{5A134DD1-556D-4D85-BFC3-80848FE0B0DE}" destId="{898E41E3-6135-44EA-81A7-6240E0063717}" srcOrd="2" destOrd="0" presId="urn:microsoft.com/office/officeart/2005/8/layout/orgChart1"/>
    <dgm:cxn modelId="{6105CC8D-6198-4FEF-800D-29C9B0368456}" type="presParOf" srcId="{0CD65E19-8206-4035-8EEF-17799E8DD7FC}" destId="{B5D42BA1-5F88-4CD3-A856-772F75B5B9BD}" srcOrd="2" destOrd="0" presId="urn:microsoft.com/office/officeart/2005/8/layout/orgChart1"/>
    <dgm:cxn modelId="{05CC44E8-E43B-4529-99BE-7D3CAEA20AF7}" type="presParOf" srcId="{ED0AF4C6-449C-4E83-84AC-92E6FA1DA217}" destId="{E303C5EF-EC38-4269-A3CC-3D72E558323B}" srcOrd="2" destOrd="0" presId="urn:microsoft.com/office/officeart/2005/8/layout/orgChart1"/>
    <dgm:cxn modelId="{3331C3FF-EFAA-471A-914B-D67CF612D152}" type="presParOf" srcId="{ED0AF4C6-449C-4E83-84AC-92E6FA1DA217}" destId="{ABCE3CBA-1C4C-4188-B20C-E09296E815B8}" srcOrd="3" destOrd="0" presId="urn:microsoft.com/office/officeart/2005/8/layout/orgChart1"/>
    <dgm:cxn modelId="{B8AD9352-C841-465F-B875-03A29C336F97}" type="presParOf" srcId="{ABCE3CBA-1C4C-4188-B20C-E09296E815B8}" destId="{C3261693-965A-4837-8D41-4DACFE8A9263}" srcOrd="0" destOrd="0" presId="urn:microsoft.com/office/officeart/2005/8/layout/orgChart1"/>
    <dgm:cxn modelId="{74778BFC-F506-49FF-8D5A-105EA248280E}" type="presParOf" srcId="{C3261693-965A-4837-8D41-4DACFE8A9263}" destId="{9729E57B-D448-448E-8C16-1A1C56ED4210}" srcOrd="0" destOrd="0" presId="urn:microsoft.com/office/officeart/2005/8/layout/orgChart1"/>
    <dgm:cxn modelId="{32E96A6F-D220-40FB-887C-133C73C0C63A}" type="presParOf" srcId="{C3261693-965A-4837-8D41-4DACFE8A9263}" destId="{5A710E42-E672-4096-9C6F-747E9EBBD449}" srcOrd="1" destOrd="0" presId="urn:microsoft.com/office/officeart/2005/8/layout/orgChart1"/>
    <dgm:cxn modelId="{D4171EE0-FE82-456E-BCEB-645632D47735}" type="presParOf" srcId="{ABCE3CBA-1C4C-4188-B20C-E09296E815B8}" destId="{59B05F0F-40C7-48E8-A26F-471A9B9148E5}" srcOrd="1" destOrd="0" presId="urn:microsoft.com/office/officeart/2005/8/layout/orgChart1"/>
    <dgm:cxn modelId="{73821962-4B80-40C2-84FA-21B88AE4C426}" type="presParOf" srcId="{59B05F0F-40C7-48E8-A26F-471A9B9148E5}" destId="{C593B2B0-15BE-4602-8FF5-D4072421A446}" srcOrd="0" destOrd="0" presId="urn:microsoft.com/office/officeart/2005/8/layout/orgChart1"/>
    <dgm:cxn modelId="{98804040-0E52-4EC9-9AEE-C6C1809E050E}" type="presParOf" srcId="{59B05F0F-40C7-48E8-A26F-471A9B9148E5}" destId="{D6335EA9-8A9A-40B5-A3D3-4048EA5F1C77}" srcOrd="1" destOrd="0" presId="urn:microsoft.com/office/officeart/2005/8/layout/orgChart1"/>
    <dgm:cxn modelId="{5E70B529-F401-49A3-8A9E-D55390240B9F}" type="presParOf" srcId="{D6335EA9-8A9A-40B5-A3D3-4048EA5F1C77}" destId="{A733573D-4A79-490A-9154-E0DAE2E31AB0}" srcOrd="0" destOrd="0" presId="urn:microsoft.com/office/officeart/2005/8/layout/orgChart1"/>
    <dgm:cxn modelId="{D25D9948-7102-4139-99DC-688727DB995C}" type="presParOf" srcId="{A733573D-4A79-490A-9154-E0DAE2E31AB0}" destId="{0234C891-C16A-4A1F-BE72-409AC7CF6649}" srcOrd="0" destOrd="0" presId="urn:microsoft.com/office/officeart/2005/8/layout/orgChart1"/>
    <dgm:cxn modelId="{BE8A8414-FB05-4361-9D78-3D6B997F8BC1}" type="presParOf" srcId="{A733573D-4A79-490A-9154-E0DAE2E31AB0}" destId="{CFC3028B-D4F7-4B5C-9396-D7772235AD4B}" srcOrd="1" destOrd="0" presId="urn:microsoft.com/office/officeart/2005/8/layout/orgChart1"/>
    <dgm:cxn modelId="{48E33152-3D0C-4E53-9B84-2B05672A0B7B}" type="presParOf" srcId="{D6335EA9-8A9A-40B5-A3D3-4048EA5F1C77}" destId="{9D91DF66-A8B6-42C1-AF16-AEBE8584E7B3}" srcOrd="1" destOrd="0" presId="urn:microsoft.com/office/officeart/2005/8/layout/orgChart1"/>
    <dgm:cxn modelId="{9227678B-A3DD-43F5-A4E2-3F105287E3B0}" type="presParOf" srcId="{D6335EA9-8A9A-40B5-A3D3-4048EA5F1C77}" destId="{C2A31492-67D2-4A4D-8CCC-AA0AB98E5F2A}" srcOrd="2" destOrd="0" presId="urn:microsoft.com/office/officeart/2005/8/layout/orgChart1"/>
    <dgm:cxn modelId="{0E8FC0DB-B9B8-499F-9BD7-DA9EE2AEDA29}" type="presParOf" srcId="{59B05F0F-40C7-48E8-A26F-471A9B9148E5}" destId="{51B137D1-F900-4608-AEF6-AE3713AA45A5}" srcOrd="2" destOrd="0" presId="urn:microsoft.com/office/officeart/2005/8/layout/orgChart1"/>
    <dgm:cxn modelId="{F63E96FA-649B-4957-9ABB-E2586E1F79B6}" type="presParOf" srcId="{59B05F0F-40C7-48E8-A26F-471A9B9148E5}" destId="{DA443DCE-E5D7-40B3-8044-9223573D1874}" srcOrd="3" destOrd="0" presId="urn:microsoft.com/office/officeart/2005/8/layout/orgChart1"/>
    <dgm:cxn modelId="{D49668A6-4203-49CE-972C-50A3E824A1E7}" type="presParOf" srcId="{DA443DCE-E5D7-40B3-8044-9223573D1874}" destId="{B810B9D1-A4BF-4C86-8819-B0D7C1ABBB17}" srcOrd="0" destOrd="0" presId="urn:microsoft.com/office/officeart/2005/8/layout/orgChart1"/>
    <dgm:cxn modelId="{76608720-4AB5-48D6-980F-232F707566AB}" type="presParOf" srcId="{B810B9D1-A4BF-4C86-8819-B0D7C1ABBB17}" destId="{5B5BB255-7C27-4C1D-B48A-4CCE6A5F665E}" srcOrd="0" destOrd="0" presId="urn:microsoft.com/office/officeart/2005/8/layout/orgChart1"/>
    <dgm:cxn modelId="{A8D96D15-FD5D-47C5-A34B-A398D3F9CE49}" type="presParOf" srcId="{B810B9D1-A4BF-4C86-8819-B0D7C1ABBB17}" destId="{FED0285A-9C90-4CB8-8DAB-FD033CC83C7F}" srcOrd="1" destOrd="0" presId="urn:microsoft.com/office/officeart/2005/8/layout/orgChart1"/>
    <dgm:cxn modelId="{B87CFBA8-0B25-4069-A7DC-1E1D52461373}" type="presParOf" srcId="{DA443DCE-E5D7-40B3-8044-9223573D1874}" destId="{82A0978F-7AE7-4D09-BB61-B3964C0EAAB2}" srcOrd="1" destOrd="0" presId="urn:microsoft.com/office/officeart/2005/8/layout/orgChart1"/>
    <dgm:cxn modelId="{849C256E-FB6D-432E-9EE9-1A5EEF56EC3C}" type="presParOf" srcId="{DA443DCE-E5D7-40B3-8044-9223573D1874}" destId="{91F39ACF-DF1E-4405-85FD-419461B37834}" srcOrd="2" destOrd="0" presId="urn:microsoft.com/office/officeart/2005/8/layout/orgChart1"/>
    <dgm:cxn modelId="{FFF81F47-E7C8-4EE9-B858-702BA6DD3136}" type="presParOf" srcId="{ABCE3CBA-1C4C-4188-B20C-E09296E815B8}" destId="{61822727-7052-4284-95E6-AE4DD2C8D389}" srcOrd="2" destOrd="0" presId="urn:microsoft.com/office/officeart/2005/8/layout/orgChart1"/>
    <dgm:cxn modelId="{C852A44D-ABFE-4887-A4CA-A359F6F9EE27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93924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18562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1150724" y="99856"/>
              </a:lnTo>
              <a:lnTo>
                <a:pt x="1150724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92475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017113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92475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1150724" y="0"/>
              </a:moveTo>
              <a:lnTo>
                <a:pt x="1150724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67694" y="1428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OMOT PONUDE</a:t>
          </a:r>
        </a:p>
        <a:p>
          <a:pPr marR="0" lvl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800" kern="1200" baseline="0" smtClean="0">
            <a:latin typeface="Cambria"/>
          </a:endParaRPr>
        </a:p>
      </dsp:txBody>
      <dsp:txXfrm>
        <a:off x="2267694" y="1428"/>
        <a:ext cx="951011" cy="475505"/>
      </dsp:txXfrm>
    </dsp:sp>
    <dsp:sp modelId="{AAB47639-DB41-4CE3-8A57-6C948470C526}">
      <dsp:nvSpPr>
        <dsp:cNvPr id="0" name=""/>
        <dsp:cNvSpPr/>
      </dsp:nvSpPr>
      <dsp:spPr>
        <a:xfrm>
          <a:off x="1116969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ORGINAL</a:t>
          </a:r>
          <a:endParaRPr lang="en-US" sz="800" kern="1200" smtClean="0"/>
        </a:p>
      </dsp:txBody>
      <dsp:txXfrm>
        <a:off x="1116969" y="676647"/>
        <a:ext cx="951011" cy="475505"/>
      </dsp:txXfrm>
    </dsp:sp>
    <dsp:sp modelId="{827B842E-8958-4E19-9396-BE1EFAA5BA61}">
      <dsp:nvSpPr>
        <dsp:cNvPr id="0" name=""/>
        <dsp:cNvSpPr/>
      </dsp:nvSpPr>
      <dsp:spPr>
        <a:xfrm>
          <a:off x="541607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PONUĐAČA</a:t>
          </a:r>
          <a:endParaRPr lang="en-US" sz="800" kern="1200" smtClean="0"/>
        </a:p>
      </dsp:txBody>
      <dsp:txXfrm>
        <a:off x="541607" y="1351865"/>
        <a:ext cx="951011" cy="475505"/>
      </dsp:txXfrm>
    </dsp:sp>
    <dsp:sp modelId="{F6102BFC-83BB-4026-B3CB-60ADB1BCBB06}">
      <dsp:nvSpPr>
        <dsp:cNvPr id="0" name=""/>
        <dsp:cNvSpPr/>
      </dsp:nvSpPr>
      <dsp:spPr>
        <a:xfrm>
          <a:off x="1692332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b="1" kern="1200" baseline="0" smtClean="0">
            <a:latin typeface="Cambria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1692332" y="1351865"/>
        <a:ext cx="951011" cy="475505"/>
      </dsp:txXfrm>
    </dsp:sp>
    <dsp:sp modelId="{9729E57B-D448-448E-8C16-1A1C56ED4210}">
      <dsp:nvSpPr>
        <dsp:cNvPr id="0" name=""/>
        <dsp:cNvSpPr/>
      </dsp:nvSpPr>
      <dsp:spPr>
        <a:xfrm>
          <a:off x="3418418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KOPIJA</a:t>
          </a:r>
          <a:endParaRPr lang="en-US" sz="800" kern="1200" smtClean="0"/>
        </a:p>
      </dsp:txBody>
      <dsp:txXfrm>
        <a:off x="3418418" y="676647"/>
        <a:ext cx="951011" cy="475505"/>
      </dsp:txXfrm>
    </dsp:sp>
    <dsp:sp modelId="{0234C891-C16A-4A1F-BE72-409AC7CF6649}">
      <dsp:nvSpPr>
        <dsp:cNvPr id="0" name=""/>
        <dsp:cNvSpPr/>
      </dsp:nvSpPr>
      <dsp:spPr>
        <a:xfrm>
          <a:off x="2843056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PONUĐAČA</a:t>
          </a:r>
          <a:endParaRPr lang="en-US" sz="800" kern="1200" smtClean="0"/>
        </a:p>
      </dsp:txBody>
      <dsp:txXfrm>
        <a:off x="2843056" y="1351865"/>
        <a:ext cx="951011" cy="475505"/>
      </dsp:txXfrm>
    </dsp:sp>
    <dsp:sp modelId="{5B5BB255-7C27-4C1D-B48A-4CCE6A5F665E}">
      <dsp:nvSpPr>
        <dsp:cNvPr id="0" name=""/>
        <dsp:cNvSpPr/>
      </dsp:nvSpPr>
      <dsp:spPr>
        <a:xfrm>
          <a:off x="3993780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3993780" y="1351865"/>
        <a:ext cx="951011" cy="47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0337C-EEBD-4FE8-A492-D8724436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26</cp:revision>
  <cp:lastPrinted>2017-03-01T13:27:00Z</cp:lastPrinted>
  <dcterms:created xsi:type="dcterms:W3CDTF">2019-04-02T10:42:00Z</dcterms:created>
  <dcterms:modified xsi:type="dcterms:W3CDTF">2020-05-14T12:58:00Z</dcterms:modified>
</cp:coreProperties>
</file>